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C9DA" w14:textId="7B01DDC3" w:rsidR="00A5048F" w:rsidRDefault="001B3D85" w:rsidP="00661275">
      <w:pPr>
        <w:jc w:val="center"/>
        <w:rPr>
          <w:rFonts w:cstheme="minorHAnsi"/>
          <w:b/>
          <w:color w:val="333333"/>
          <w:sz w:val="36"/>
          <w:szCs w:val="36"/>
          <w:shd w:val="clear" w:color="auto" w:fill="FFFFFF"/>
        </w:rPr>
      </w:pPr>
      <w:r w:rsidRPr="002F0B0B">
        <w:rPr>
          <w:rFonts w:cstheme="minorHAnsi"/>
          <w:b/>
          <w:color w:val="333333"/>
          <w:sz w:val="36"/>
          <w:szCs w:val="36"/>
          <w:shd w:val="clear" w:color="auto" w:fill="FFFFFF"/>
        </w:rPr>
        <w:t>REPORT ON BLOOD BANK</w:t>
      </w:r>
      <w:r w:rsidR="004E2FFB" w:rsidRPr="002F0B0B">
        <w:rPr>
          <w:rFonts w:cstheme="minorHAnsi"/>
          <w:b/>
          <w:color w:val="333333"/>
          <w:sz w:val="36"/>
          <w:szCs w:val="36"/>
          <w:shd w:val="clear" w:color="auto" w:fill="FFFFFF"/>
        </w:rPr>
        <w:t xml:space="preserve"> VISIT</w:t>
      </w:r>
    </w:p>
    <w:p w14:paraId="53A56911" w14:textId="77777777" w:rsidR="00F80677" w:rsidRPr="002F0B0B" w:rsidRDefault="00F80677" w:rsidP="00661275">
      <w:pPr>
        <w:jc w:val="center"/>
        <w:rPr>
          <w:rFonts w:cstheme="minorHAnsi"/>
          <w:b/>
          <w:color w:val="333333"/>
          <w:sz w:val="36"/>
          <w:szCs w:val="36"/>
          <w:shd w:val="clear" w:color="auto" w:fill="FFFFFF"/>
        </w:rPr>
      </w:pPr>
    </w:p>
    <w:p w14:paraId="4D20AE39" w14:textId="2C999784" w:rsidR="00A5048F" w:rsidRPr="00F80677" w:rsidRDefault="00661275" w:rsidP="002F0B0B">
      <w:pPr>
        <w:jc w:val="both"/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Venue</w:t>
      </w:r>
      <w:r w:rsidR="00A5048F"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: </w:t>
      </w:r>
      <w:r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Blood Bank </w:t>
      </w:r>
      <w:r w:rsidR="00A249F4"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Centre</w:t>
      </w:r>
      <w:r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, </w:t>
      </w:r>
      <w:r w:rsidR="001B3D85"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AIIMS </w:t>
      </w:r>
      <w:proofErr w:type="spellStart"/>
      <w:r w:rsidR="004E2FFB"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Mangalagiri</w:t>
      </w:r>
      <w:proofErr w:type="spellEnd"/>
    </w:p>
    <w:p w14:paraId="79C8AEA0" w14:textId="0A599F44" w:rsidR="00A5048F" w:rsidRPr="00F80677" w:rsidRDefault="00A5048F" w:rsidP="002F0B0B">
      <w:pPr>
        <w:jc w:val="both"/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Date of </w:t>
      </w:r>
      <w:r w:rsidR="00661275"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Visit</w:t>
      </w:r>
      <w:r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: </w:t>
      </w:r>
      <w:r w:rsidR="004E2FFB"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0</w:t>
      </w:r>
      <w:r w:rsidR="001B3D85"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9</w:t>
      </w:r>
      <w:r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-</w:t>
      </w:r>
      <w:r w:rsidR="004E2FFB"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0</w:t>
      </w:r>
      <w:r w:rsidR="001B3D85"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3</w:t>
      </w:r>
      <w:r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-202</w:t>
      </w:r>
      <w:r w:rsidR="001B3D85"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4</w:t>
      </w:r>
    </w:p>
    <w:p w14:paraId="7B1CCF25" w14:textId="2BFD4DD8" w:rsidR="001E0A1F" w:rsidRPr="00F80677" w:rsidRDefault="004E2FFB" w:rsidP="002F0B0B">
      <w:pPr>
        <w:jc w:val="both"/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Time: 09.00</w:t>
      </w:r>
      <w:r w:rsidR="00A249F4"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am-12.00</w:t>
      </w:r>
      <w:r w:rsidR="00A249F4"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p</w:t>
      </w:r>
      <w:r w:rsidR="00D62AA5" w:rsidRPr="00F80677">
        <w:rPr>
          <w:rFonts w:cstheme="minorHAnsi"/>
          <w:bCs/>
          <w:color w:val="333333"/>
          <w:sz w:val="28"/>
          <w:szCs w:val="28"/>
          <w:shd w:val="clear" w:color="auto" w:fill="FFFFFF"/>
        </w:rPr>
        <w:t>m</w:t>
      </w:r>
    </w:p>
    <w:p w14:paraId="647B7F7F" w14:textId="77777777" w:rsidR="00C375D8" w:rsidRPr="00C375D8" w:rsidRDefault="00C375D8" w:rsidP="002F0B0B">
      <w:pPr>
        <w:shd w:val="clear" w:color="auto" w:fill="FFFFFF"/>
        <w:spacing w:before="300" w:after="300" w:line="360" w:lineRule="auto"/>
        <w:jc w:val="both"/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</w:pPr>
      <w:r w:rsidRPr="00C375D8">
        <w:rPr>
          <w:rFonts w:eastAsia="Times New Roman" w:cstheme="minorHAnsi"/>
          <w:b/>
          <w:bCs/>
          <w:kern w:val="0"/>
          <w:sz w:val="28"/>
          <w:szCs w:val="28"/>
          <w:lang w:eastAsia="en-IN"/>
          <w14:ligatures w14:val="none"/>
        </w:rPr>
        <w:t>Objective:</w:t>
      </w: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 The primary objectives of the blood bank visit were to:</w:t>
      </w:r>
    </w:p>
    <w:p w14:paraId="70D71DED" w14:textId="75F688D6" w:rsidR="00C375D8" w:rsidRPr="00C375D8" w:rsidRDefault="00C375D8" w:rsidP="002F0B0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</w:pP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Educate students about the importance of blood donation and the role of blood banks in healthcare system.</w:t>
      </w:r>
    </w:p>
    <w:p w14:paraId="07A3F16E" w14:textId="77777777" w:rsidR="00C375D8" w:rsidRPr="00C375D8" w:rsidRDefault="00C375D8" w:rsidP="002F0B0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</w:pP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Demonstrate the process of blood collection, testing, storage, and distribution.</w:t>
      </w:r>
    </w:p>
    <w:p w14:paraId="3771C4D4" w14:textId="303C9750" w:rsidR="00C375D8" w:rsidRPr="00C375D8" w:rsidRDefault="004E2FFB" w:rsidP="002F0B0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</w:pPr>
      <w:r w:rsidRPr="002F0B0B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E</w:t>
      </w:r>
      <w:r w:rsidR="00C375D8"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ncourage students to consider becoming blood donors in the future.</w:t>
      </w:r>
    </w:p>
    <w:p w14:paraId="5C9E8490" w14:textId="77777777" w:rsidR="00C375D8" w:rsidRPr="00C375D8" w:rsidRDefault="00C375D8" w:rsidP="002F0B0B">
      <w:pPr>
        <w:shd w:val="clear" w:color="auto" w:fill="FFFFFF"/>
        <w:spacing w:before="300" w:after="30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eastAsia="en-IN"/>
          <w14:ligatures w14:val="none"/>
        </w:rPr>
      </w:pPr>
      <w:r w:rsidRPr="00C375D8">
        <w:rPr>
          <w:rFonts w:eastAsia="Times New Roman" w:cstheme="minorHAnsi"/>
          <w:b/>
          <w:bCs/>
          <w:kern w:val="0"/>
          <w:sz w:val="28"/>
          <w:szCs w:val="28"/>
          <w:lang w:eastAsia="en-IN"/>
          <w14:ligatures w14:val="none"/>
        </w:rPr>
        <w:t>Key Highlights:</w:t>
      </w:r>
    </w:p>
    <w:p w14:paraId="4850807F" w14:textId="61CB26AE" w:rsidR="00C375D8" w:rsidRPr="00C375D8" w:rsidRDefault="00C375D8" w:rsidP="002F0B0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</w:pP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Introduction to Blood Bank: The visit began with an informative session on the significance of blood donation and the essential functions of a blood bank in healthcare delivery.</w:t>
      </w:r>
    </w:p>
    <w:p w14:paraId="535E6F76" w14:textId="77777777" w:rsidR="00C375D8" w:rsidRPr="00C375D8" w:rsidRDefault="00C375D8" w:rsidP="002F0B0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</w:pP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Tour of Facilities: Students were taken on a comprehensive tour of the blood bank facilities, including the donor area, testing laboratory, storage units, and distribution </w:t>
      </w:r>
      <w:proofErr w:type="spellStart"/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center</w:t>
      </w:r>
      <w:proofErr w:type="spellEnd"/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.</w:t>
      </w:r>
    </w:p>
    <w:p w14:paraId="68E6EE36" w14:textId="77777777" w:rsidR="00C375D8" w:rsidRPr="00C375D8" w:rsidRDefault="00C375D8" w:rsidP="002F0B0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</w:pP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Blood Collection Process: They observed the meticulous procedures involved in blood collection, from donor registration and medical screening to phlebotomy and post-donation care.</w:t>
      </w:r>
    </w:p>
    <w:p w14:paraId="7E4D807B" w14:textId="77777777" w:rsidR="00C375D8" w:rsidRPr="00C375D8" w:rsidRDefault="00C375D8" w:rsidP="002F0B0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</w:pP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Laboratory Testing: Students learned about the rigorous testing protocols employed to screen donated blood for infectious diseases and other potential risks, ensuring the safety of recipients.</w:t>
      </w:r>
    </w:p>
    <w:p w14:paraId="7E46D9FA" w14:textId="77777777" w:rsidR="00C375D8" w:rsidRPr="00C375D8" w:rsidRDefault="00C375D8" w:rsidP="002F0B0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</w:pP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lastRenderedPageBreak/>
        <w:t>Blood Storage and Inventory Management: They gained insights into the techniques utilized for blood component separation, storage, and inventory management, ensuring optimal utilization and traceability.</w:t>
      </w:r>
    </w:p>
    <w:p w14:paraId="7F255037" w14:textId="77777777" w:rsidR="00C375D8" w:rsidRPr="002F0B0B" w:rsidRDefault="00C375D8" w:rsidP="002F0B0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</w:pP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Distribution and Transfusion: The visit concluded with a demonstration of the processes involved in blood product distribution and transfusion, emphasizing the critical role of timely access to blood products in patient care.</w:t>
      </w:r>
    </w:p>
    <w:p w14:paraId="619CCB2B" w14:textId="08916297" w:rsidR="00A57F60" w:rsidRPr="002F0B0B" w:rsidRDefault="00A57F60" w:rsidP="002F0B0B">
      <w:pPr>
        <w:ind w:left="360"/>
        <w:jc w:val="both"/>
        <w:rPr>
          <w:rFonts w:cstheme="minorHAnsi"/>
          <w:b/>
          <w:sz w:val="28"/>
          <w:szCs w:val="28"/>
        </w:rPr>
      </w:pPr>
    </w:p>
    <w:p w14:paraId="572B2AAE" w14:textId="5EB63305" w:rsidR="00A57F60" w:rsidRPr="002F0B0B" w:rsidRDefault="00710E93" w:rsidP="002F0B0B">
      <w:pPr>
        <w:shd w:val="clear" w:color="auto" w:fill="FFFFFF"/>
        <w:spacing w:after="0" w:line="360" w:lineRule="auto"/>
        <w:ind w:left="360"/>
        <w:jc w:val="both"/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</w:pPr>
      <w:r w:rsidRPr="00A249F4">
        <w:rPr>
          <w:rFonts w:cstheme="minorHAnsi"/>
          <w:b/>
          <w:bCs/>
          <w:sz w:val="28"/>
          <w:szCs w:val="28"/>
        </w:rPr>
        <w:t>Report:</w:t>
      </w:r>
      <w:r w:rsidR="00A57F60" w:rsidRPr="002F0B0B">
        <w:rPr>
          <w:rFonts w:cstheme="minorHAnsi"/>
          <w:sz w:val="28"/>
          <w:szCs w:val="28"/>
        </w:rPr>
        <w:t xml:space="preserve"> On March </w:t>
      </w:r>
      <w:r w:rsidR="00A249F4">
        <w:rPr>
          <w:rFonts w:cstheme="minorHAnsi"/>
          <w:sz w:val="28"/>
          <w:szCs w:val="28"/>
        </w:rPr>
        <w:t>9</w:t>
      </w:r>
      <w:r w:rsidR="00A249F4" w:rsidRPr="00A249F4">
        <w:rPr>
          <w:rFonts w:cstheme="minorHAnsi"/>
          <w:sz w:val="28"/>
          <w:szCs w:val="28"/>
          <w:vertAlign w:val="superscript"/>
        </w:rPr>
        <w:t>th</w:t>
      </w:r>
      <w:r w:rsidR="00A249F4">
        <w:rPr>
          <w:rFonts w:cstheme="minorHAnsi"/>
          <w:sz w:val="28"/>
          <w:szCs w:val="28"/>
        </w:rPr>
        <w:t xml:space="preserve"> </w:t>
      </w:r>
      <w:r w:rsidR="00A57F60" w:rsidRPr="002F0B0B">
        <w:rPr>
          <w:rFonts w:cstheme="minorHAnsi"/>
          <w:sz w:val="28"/>
          <w:szCs w:val="28"/>
        </w:rPr>
        <w:t xml:space="preserve">2024 as a part of teaching learning activities the </w:t>
      </w:r>
      <w:r w:rsidR="00D62AA5" w:rsidRPr="002F0B0B">
        <w:rPr>
          <w:rFonts w:cstheme="minorHAnsi"/>
          <w:sz w:val="28"/>
          <w:szCs w:val="28"/>
        </w:rPr>
        <w:t xml:space="preserve">Second </w:t>
      </w:r>
      <w:r w:rsidR="00A57F60" w:rsidRPr="002F0B0B">
        <w:rPr>
          <w:rFonts w:cstheme="minorHAnsi"/>
          <w:sz w:val="28"/>
          <w:szCs w:val="28"/>
        </w:rPr>
        <w:t xml:space="preserve">Year </w:t>
      </w:r>
      <w:r w:rsidRPr="002F0B0B">
        <w:rPr>
          <w:rFonts w:cstheme="minorHAnsi"/>
          <w:sz w:val="28"/>
          <w:szCs w:val="28"/>
        </w:rPr>
        <w:t>B.Sc. (</w:t>
      </w:r>
      <w:r w:rsidR="00A57F60" w:rsidRPr="002F0B0B">
        <w:rPr>
          <w:rFonts w:cstheme="minorHAnsi"/>
          <w:sz w:val="28"/>
          <w:szCs w:val="28"/>
        </w:rPr>
        <w:t xml:space="preserve">Hons.) Nursing students were taken to blood bank to </w:t>
      </w:r>
      <w:r w:rsidR="00D62AA5" w:rsidRPr="002F0B0B">
        <w:rPr>
          <w:rFonts w:cstheme="minorHAnsi"/>
          <w:sz w:val="28"/>
          <w:szCs w:val="28"/>
        </w:rPr>
        <w:t>learn</w:t>
      </w:r>
      <w:r w:rsidR="00A57F60" w:rsidRPr="002F0B0B">
        <w:rPr>
          <w:rFonts w:cstheme="minorHAnsi"/>
          <w:sz w:val="28"/>
          <w:szCs w:val="28"/>
        </w:rPr>
        <w:t xml:space="preserve"> the various </w:t>
      </w:r>
      <w:r w:rsidRPr="002F0B0B">
        <w:rPr>
          <w:rFonts w:cstheme="minorHAnsi"/>
          <w:sz w:val="28"/>
          <w:szCs w:val="28"/>
        </w:rPr>
        <w:t xml:space="preserve">storage </w:t>
      </w:r>
      <w:r w:rsidRPr="002F0B0B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methods</w:t>
      </w:r>
      <w:r w:rsidR="00D62AA5" w:rsidRPr="002F0B0B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 and</w:t>
      </w:r>
      <w:r w:rsidR="00516A72" w:rsidRPr="002F0B0B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 </w:t>
      </w:r>
      <w:r w:rsidR="00A57F60"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blood bank facilities, including the donor area, testing laboratory, storage units, and distribution </w:t>
      </w:r>
      <w:proofErr w:type="spellStart"/>
      <w:r w:rsidR="00A57F60"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center</w:t>
      </w:r>
      <w:proofErr w:type="spellEnd"/>
      <w:r w:rsidR="00A57F60"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.</w:t>
      </w:r>
      <w:r w:rsidR="00A57F60" w:rsidRPr="002F0B0B">
        <w:rPr>
          <w:rFonts w:cstheme="minorHAnsi"/>
          <w:sz w:val="28"/>
          <w:szCs w:val="28"/>
        </w:rPr>
        <w:t xml:space="preserve"> The visit was conducted with the permission and guidance of </w:t>
      </w:r>
      <w:proofErr w:type="spellStart"/>
      <w:r w:rsidR="00A57F60" w:rsidRPr="002F0B0B">
        <w:rPr>
          <w:rFonts w:cstheme="minorHAnsi"/>
          <w:sz w:val="28"/>
          <w:szCs w:val="28"/>
        </w:rPr>
        <w:t>Dr.</w:t>
      </w:r>
      <w:proofErr w:type="spellEnd"/>
      <w:r w:rsidR="00A57F60" w:rsidRPr="002F0B0B">
        <w:rPr>
          <w:rFonts w:cstheme="minorHAnsi"/>
          <w:sz w:val="28"/>
          <w:szCs w:val="28"/>
        </w:rPr>
        <w:t xml:space="preserve"> </w:t>
      </w:r>
      <w:proofErr w:type="spellStart"/>
      <w:r w:rsidR="00A57F60" w:rsidRPr="002F0B0B">
        <w:rPr>
          <w:rFonts w:cstheme="minorHAnsi"/>
          <w:sz w:val="28"/>
          <w:szCs w:val="28"/>
        </w:rPr>
        <w:t>M</w:t>
      </w:r>
      <w:r w:rsidR="00516A72" w:rsidRPr="002F0B0B">
        <w:rPr>
          <w:rFonts w:cstheme="minorHAnsi"/>
          <w:sz w:val="28"/>
          <w:szCs w:val="28"/>
        </w:rPr>
        <w:t>adhabananda</w:t>
      </w:r>
      <w:proofErr w:type="spellEnd"/>
      <w:r w:rsidR="00516A72" w:rsidRPr="002F0B0B">
        <w:rPr>
          <w:rFonts w:cstheme="minorHAnsi"/>
          <w:sz w:val="28"/>
          <w:szCs w:val="28"/>
        </w:rPr>
        <w:t xml:space="preserve"> </w:t>
      </w:r>
      <w:proofErr w:type="spellStart"/>
      <w:r w:rsidR="00516A72" w:rsidRPr="002F0B0B">
        <w:rPr>
          <w:rFonts w:cstheme="minorHAnsi"/>
          <w:sz w:val="28"/>
          <w:szCs w:val="28"/>
        </w:rPr>
        <w:t>kar</w:t>
      </w:r>
      <w:proofErr w:type="spellEnd"/>
      <w:r w:rsidR="00A57F60" w:rsidRPr="002F0B0B">
        <w:rPr>
          <w:rFonts w:cstheme="minorHAnsi"/>
          <w:sz w:val="28"/>
          <w:szCs w:val="28"/>
        </w:rPr>
        <w:t xml:space="preserve">, Director of AIIMS, </w:t>
      </w:r>
      <w:proofErr w:type="spellStart"/>
      <w:r w:rsidR="00A57F60" w:rsidRPr="002F0B0B">
        <w:rPr>
          <w:rFonts w:cstheme="minorHAnsi"/>
          <w:sz w:val="28"/>
          <w:szCs w:val="28"/>
        </w:rPr>
        <w:t>Mangalagiri</w:t>
      </w:r>
      <w:proofErr w:type="spellEnd"/>
      <w:r w:rsidR="00A57F60" w:rsidRPr="002F0B0B">
        <w:rPr>
          <w:rFonts w:cstheme="minorHAnsi"/>
          <w:sz w:val="28"/>
          <w:szCs w:val="28"/>
        </w:rPr>
        <w:t xml:space="preserve"> and Prof. </w:t>
      </w:r>
      <w:proofErr w:type="spellStart"/>
      <w:r w:rsidR="00A57F60" w:rsidRPr="002F0B0B">
        <w:rPr>
          <w:rFonts w:cstheme="minorHAnsi"/>
          <w:sz w:val="28"/>
          <w:szCs w:val="28"/>
        </w:rPr>
        <w:t>Dr.Danasu</w:t>
      </w:r>
      <w:proofErr w:type="spellEnd"/>
      <w:r w:rsidR="00A57F60" w:rsidRPr="002F0B0B">
        <w:rPr>
          <w:rFonts w:cstheme="minorHAnsi"/>
          <w:sz w:val="28"/>
          <w:szCs w:val="28"/>
        </w:rPr>
        <w:t xml:space="preserve"> R, Principal, College of Nursing. The students were accompanied with </w:t>
      </w:r>
      <w:r w:rsidR="00D62AA5" w:rsidRPr="002F0B0B">
        <w:rPr>
          <w:rFonts w:cstheme="minorHAnsi"/>
          <w:sz w:val="28"/>
          <w:szCs w:val="28"/>
        </w:rPr>
        <w:t>Faculty</w:t>
      </w:r>
      <w:r w:rsidR="00A57F60" w:rsidRPr="002F0B0B">
        <w:rPr>
          <w:rFonts w:cstheme="minorHAnsi"/>
          <w:sz w:val="28"/>
          <w:szCs w:val="28"/>
        </w:rPr>
        <w:t xml:space="preserve"> Mrs. </w:t>
      </w:r>
      <w:proofErr w:type="spellStart"/>
      <w:r w:rsidR="00516A72" w:rsidRPr="002F0B0B">
        <w:rPr>
          <w:rFonts w:cstheme="minorHAnsi"/>
          <w:sz w:val="28"/>
          <w:szCs w:val="28"/>
        </w:rPr>
        <w:t>Vallepu</w:t>
      </w:r>
      <w:proofErr w:type="spellEnd"/>
      <w:r w:rsidR="00516A72" w:rsidRPr="002F0B0B">
        <w:rPr>
          <w:rFonts w:cstheme="minorHAnsi"/>
          <w:sz w:val="28"/>
          <w:szCs w:val="28"/>
        </w:rPr>
        <w:t xml:space="preserve"> Padma</w:t>
      </w:r>
      <w:r w:rsidR="00D62AA5" w:rsidRPr="002F0B0B">
        <w:rPr>
          <w:rFonts w:cstheme="minorHAnsi"/>
          <w:sz w:val="28"/>
          <w:szCs w:val="28"/>
        </w:rPr>
        <w:t xml:space="preserve"> and </w:t>
      </w:r>
      <w:proofErr w:type="spellStart"/>
      <w:r w:rsidR="00516A72" w:rsidRPr="002F0B0B">
        <w:rPr>
          <w:rFonts w:cstheme="minorHAnsi"/>
          <w:sz w:val="28"/>
          <w:szCs w:val="28"/>
        </w:rPr>
        <w:t>Mrs.Yeramareddy</w:t>
      </w:r>
      <w:proofErr w:type="spellEnd"/>
      <w:r w:rsidR="00516A72" w:rsidRPr="002F0B0B">
        <w:rPr>
          <w:rFonts w:cstheme="minorHAnsi"/>
          <w:sz w:val="28"/>
          <w:szCs w:val="28"/>
        </w:rPr>
        <w:t xml:space="preserve"> Vijaya Mariya Nakshatram</w:t>
      </w:r>
      <w:r w:rsidR="00A57F60" w:rsidRPr="002F0B0B">
        <w:rPr>
          <w:rFonts w:cstheme="minorHAnsi"/>
          <w:sz w:val="28"/>
          <w:szCs w:val="28"/>
        </w:rPr>
        <w:t xml:space="preserve">. All of the 25 students were briefed about the objectives for the </w:t>
      </w:r>
      <w:r w:rsidR="00516A72" w:rsidRPr="002F0B0B">
        <w:rPr>
          <w:rFonts w:cstheme="minorHAnsi"/>
          <w:sz w:val="28"/>
          <w:szCs w:val="28"/>
        </w:rPr>
        <w:t>blood bank</w:t>
      </w:r>
      <w:r w:rsidR="00A57F60" w:rsidRPr="002F0B0B">
        <w:rPr>
          <w:rFonts w:cstheme="minorHAnsi"/>
          <w:sz w:val="28"/>
          <w:szCs w:val="28"/>
        </w:rPr>
        <w:t xml:space="preserve"> visit </w:t>
      </w:r>
      <w:r w:rsidR="00D62AA5" w:rsidRPr="002F0B0B">
        <w:rPr>
          <w:rFonts w:cstheme="minorHAnsi"/>
          <w:sz w:val="28"/>
          <w:szCs w:val="28"/>
        </w:rPr>
        <w:t xml:space="preserve">at class room </w:t>
      </w:r>
      <w:r w:rsidR="00A57F60" w:rsidRPr="002F0B0B">
        <w:rPr>
          <w:rFonts w:cstheme="minorHAnsi"/>
          <w:sz w:val="28"/>
          <w:szCs w:val="28"/>
        </w:rPr>
        <w:t xml:space="preserve">and reached the </w:t>
      </w:r>
      <w:r w:rsidR="00516A72" w:rsidRPr="002F0B0B">
        <w:rPr>
          <w:rFonts w:cstheme="minorHAnsi"/>
          <w:sz w:val="28"/>
          <w:szCs w:val="28"/>
        </w:rPr>
        <w:t xml:space="preserve">blood bank </w:t>
      </w:r>
      <w:r w:rsidR="00A57F60" w:rsidRPr="002F0B0B">
        <w:rPr>
          <w:rFonts w:cstheme="minorHAnsi"/>
          <w:sz w:val="28"/>
          <w:szCs w:val="28"/>
        </w:rPr>
        <w:t xml:space="preserve"> at </w:t>
      </w:r>
      <w:r w:rsidR="00516A72" w:rsidRPr="002F0B0B">
        <w:rPr>
          <w:rFonts w:cstheme="minorHAnsi"/>
          <w:sz w:val="28"/>
          <w:szCs w:val="28"/>
        </w:rPr>
        <w:t>9</w:t>
      </w:r>
      <w:r w:rsidR="00A57F60" w:rsidRPr="002F0B0B">
        <w:rPr>
          <w:rFonts w:cstheme="minorHAnsi"/>
          <w:sz w:val="28"/>
          <w:szCs w:val="28"/>
        </w:rPr>
        <w:t xml:space="preserve"> AM. After reaching the </w:t>
      </w:r>
      <w:r w:rsidR="00516A72" w:rsidRPr="002F0B0B">
        <w:rPr>
          <w:rFonts w:cstheme="minorHAnsi"/>
          <w:sz w:val="28"/>
          <w:szCs w:val="28"/>
        </w:rPr>
        <w:t>blood bank, blood bank</w:t>
      </w:r>
      <w:r w:rsidR="00A57F60" w:rsidRPr="002F0B0B">
        <w:rPr>
          <w:rFonts w:cstheme="minorHAnsi"/>
          <w:sz w:val="28"/>
          <w:szCs w:val="28"/>
        </w:rPr>
        <w:t xml:space="preserve"> </w:t>
      </w:r>
      <w:r w:rsidR="00D62AA5" w:rsidRPr="002F0B0B">
        <w:rPr>
          <w:rFonts w:cstheme="minorHAnsi"/>
          <w:sz w:val="28"/>
          <w:szCs w:val="28"/>
        </w:rPr>
        <w:t>Doctors and Nursing Officers</w:t>
      </w:r>
      <w:r w:rsidR="00A57F60" w:rsidRPr="002F0B0B">
        <w:rPr>
          <w:rFonts w:cstheme="minorHAnsi"/>
          <w:sz w:val="28"/>
          <w:szCs w:val="28"/>
        </w:rPr>
        <w:t xml:space="preserve"> gave an orientation regarding</w:t>
      </w:r>
      <w:r w:rsidRPr="002F0B0B">
        <w:rPr>
          <w:rFonts w:cstheme="minorHAnsi"/>
          <w:sz w:val="28"/>
          <w:szCs w:val="28"/>
        </w:rPr>
        <w:t xml:space="preserve"> various </w:t>
      </w:r>
      <w:r w:rsidR="002F0B0B" w:rsidRPr="002F0B0B">
        <w:rPr>
          <w:rFonts w:cstheme="minorHAnsi"/>
          <w:sz w:val="28"/>
          <w:szCs w:val="28"/>
        </w:rPr>
        <w:t xml:space="preserve">storage </w:t>
      </w:r>
      <w:r w:rsidR="002F0B0B"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methods</w:t>
      </w:r>
      <w:r w:rsidRPr="002F0B0B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 </w:t>
      </w:r>
      <w:r w:rsidR="00D62AA5" w:rsidRPr="002F0B0B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of </w:t>
      </w: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blood</w:t>
      </w:r>
      <w:r w:rsidRPr="002F0B0B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 </w:t>
      </w:r>
      <w:r w:rsidR="002F0B0B" w:rsidRPr="002F0B0B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and </w:t>
      </w:r>
      <w:r w:rsidR="002F0B0B"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bank</w:t>
      </w: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 facilities, including the donor area, testing </w:t>
      </w:r>
      <w:r w:rsidR="00D62AA5" w:rsidRPr="002F0B0B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in </w:t>
      </w: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laboratory</w:t>
      </w:r>
      <w:r w:rsidR="00D62AA5" w:rsidRPr="002F0B0B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 such as Blood grouping and cross matching</w:t>
      </w: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,</w:t>
      </w:r>
      <w:r w:rsidR="00D62AA5" w:rsidRPr="002F0B0B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 P</w:t>
      </w:r>
      <w:r w:rsidRPr="002F0B0B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hlebotomy </w:t>
      </w:r>
      <w:r w:rsidR="002F0B0B" w:rsidRPr="002F0B0B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procedure </w:t>
      </w:r>
      <w:r w:rsidR="002F0B0B"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and</w:t>
      </w: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 xml:space="preserve"> </w:t>
      </w:r>
      <w:r w:rsidR="00D62AA5" w:rsidRPr="002F0B0B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Post donation care</w:t>
      </w:r>
      <w:r w:rsidRPr="00C375D8">
        <w:rPr>
          <w:rFonts w:eastAsia="Times New Roman" w:cstheme="minorHAnsi"/>
          <w:color w:val="0D0D0D"/>
          <w:kern w:val="0"/>
          <w:sz w:val="28"/>
          <w:szCs w:val="28"/>
          <w:lang w:eastAsia="en-IN"/>
          <w14:ligatures w14:val="none"/>
        </w:rPr>
        <w:t>.</w:t>
      </w:r>
      <w:r w:rsidR="00A57F60" w:rsidRPr="002F0B0B">
        <w:rPr>
          <w:rFonts w:cstheme="minorHAnsi"/>
          <w:sz w:val="28"/>
          <w:szCs w:val="28"/>
        </w:rPr>
        <w:t xml:space="preserve"> The students reached back to the college at </w:t>
      </w:r>
      <w:r w:rsidRPr="002F0B0B">
        <w:rPr>
          <w:rFonts w:cstheme="minorHAnsi"/>
          <w:sz w:val="28"/>
          <w:szCs w:val="28"/>
        </w:rPr>
        <w:t>1</w:t>
      </w:r>
      <w:r w:rsidR="00A57F60" w:rsidRPr="002F0B0B">
        <w:rPr>
          <w:rFonts w:cstheme="minorHAnsi"/>
          <w:sz w:val="28"/>
          <w:szCs w:val="28"/>
        </w:rPr>
        <w:t>2:00 PM.</w:t>
      </w:r>
      <w:r w:rsidR="00D87A24">
        <w:rPr>
          <w:rFonts w:cstheme="minorHAnsi"/>
          <w:sz w:val="28"/>
          <w:szCs w:val="28"/>
        </w:rPr>
        <w:t xml:space="preserve"> </w:t>
      </w:r>
    </w:p>
    <w:p w14:paraId="2B39C08E" w14:textId="77777777" w:rsidR="00A57F60" w:rsidRPr="00C375D8" w:rsidRDefault="00A57F60" w:rsidP="002F0B0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  <w14:ligatures w14:val="none"/>
        </w:rPr>
      </w:pPr>
    </w:p>
    <w:p w14:paraId="67EBBF49" w14:textId="77777777" w:rsidR="00C375D8" w:rsidRPr="00A5048F" w:rsidRDefault="00C375D8" w:rsidP="002F0B0B">
      <w:pPr>
        <w:spacing w:line="360" w:lineRule="auto"/>
        <w:jc w:val="both"/>
        <w:rPr>
          <w:rFonts w:ascii="Times New Roman" w:hAnsi="Times New Roman" w:cs="Times New Roman"/>
        </w:rPr>
      </w:pPr>
    </w:p>
    <w:p w14:paraId="2565D414" w14:textId="77777777" w:rsidR="00C375D8" w:rsidRDefault="00C375D8" w:rsidP="002F0B0B">
      <w:pPr>
        <w:jc w:val="both"/>
      </w:pPr>
    </w:p>
    <w:p w14:paraId="7980C31C" w14:textId="308A090F" w:rsidR="00BD417E" w:rsidRDefault="00D10E4F" w:rsidP="002F0B0B">
      <w:pPr>
        <w:jc w:val="both"/>
      </w:pPr>
      <w:r>
        <w:rPr>
          <w:noProof/>
        </w:rPr>
        <w:lastRenderedPageBreak/>
        <w:drawing>
          <wp:inline distT="0" distB="0" distL="0" distR="0" wp14:anchorId="2031F819" wp14:editId="12389982">
            <wp:extent cx="2508250" cy="1952319"/>
            <wp:effectExtent l="38100" t="38100" r="44450" b="29210"/>
            <wp:docPr id="1584550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08" cy="196909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43FA1" w:rsidRPr="00143FA1">
        <w:t xml:space="preserve"> </w:t>
      </w:r>
      <w:r w:rsidR="00143FA1">
        <w:rPr>
          <w:noProof/>
        </w:rPr>
        <w:drawing>
          <wp:inline distT="0" distB="0" distL="0" distR="0" wp14:anchorId="0222C9A6" wp14:editId="6E962C91">
            <wp:extent cx="2597150" cy="1948006"/>
            <wp:effectExtent l="38100" t="38100" r="31750" b="33655"/>
            <wp:docPr id="102045958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05558" cy="195431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48821" w14:textId="5BF50733" w:rsidR="00D10E4F" w:rsidRDefault="00D10E4F" w:rsidP="002F0B0B">
      <w:pPr>
        <w:jc w:val="both"/>
      </w:pPr>
      <w:r>
        <w:rPr>
          <w:noProof/>
        </w:rPr>
        <w:drawing>
          <wp:inline distT="0" distB="0" distL="0" distR="0" wp14:anchorId="7A85DB7E" wp14:editId="76D543C7">
            <wp:extent cx="2508250" cy="2155374"/>
            <wp:effectExtent l="38100" t="38100" r="44450" b="35560"/>
            <wp:docPr id="17335355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18" cy="220149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43FA1">
        <w:rPr>
          <w:noProof/>
        </w:rPr>
        <w:drawing>
          <wp:inline distT="0" distB="0" distL="0" distR="0" wp14:anchorId="62221248" wp14:editId="34A69CAC">
            <wp:extent cx="2679700" cy="2156377"/>
            <wp:effectExtent l="38100" t="38100" r="44450" b="34925"/>
            <wp:docPr id="218197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163" cy="218813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FEC21F" w14:textId="77777777" w:rsidR="00143FA1" w:rsidRDefault="00143FA1" w:rsidP="002F0B0B">
      <w:pPr>
        <w:jc w:val="both"/>
      </w:pPr>
    </w:p>
    <w:p w14:paraId="65AA2E43" w14:textId="3B0E8185" w:rsidR="00D10E4F" w:rsidRDefault="00143FA1" w:rsidP="002F0B0B">
      <w:pPr>
        <w:jc w:val="both"/>
      </w:pPr>
      <w:r>
        <w:rPr>
          <w:noProof/>
        </w:rPr>
        <w:drawing>
          <wp:inline distT="0" distB="0" distL="0" distR="0" wp14:anchorId="5D54E08F" wp14:editId="59BCA22E">
            <wp:extent cx="2406650" cy="2416481"/>
            <wp:effectExtent l="38100" t="38100" r="31750" b="41275"/>
            <wp:docPr id="65080250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03"/>
                    <a:stretch/>
                  </pic:blipFill>
                  <pic:spPr bwMode="auto">
                    <a:xfrm>
                      <a:off x="0" y="0"/>
                      <a:ext cx="2448351" cy="245835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45D39A" wp14:editId="0AB2ECA4">
            <wp:extent cx="2679700" cy="2398148"/>
            <wp:effectExtent l="38100" t="38100" r="44450" b="40640"/>
            <wp:docPr id="14923098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534" cy="242663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2B895A" w14:textId="57535E18" w:rsidR="00D10E4F" w:rsidRDefault="00D10E4F" w:rsidP="002F0B0B">
      <w:pPr>
        <w:jc w:val="both"/>
      </w:pPr>
    </w:p>
    <w:p w14:paraId="13CA8788" w14:textId="77777777" w:rsidR="00C375D8" w:rsidRDefault="00C375D8" w:rsidP="002F0B0B">
      <w:pPr>
        <w:jc w:val="both"/>
      </w:pPr>
    </w:p>
    <w:p w14:paraId="27E85221" w14:textId="3FF6D80E" w:rsidR="00C375D8" w:rsidRDefault="00C375D8" w:rsidP="002F0B0B">
      <w:pPr>
        <w:jc w:val="both"/>
      </w:pPr>
    </w:p>
    <w:p w14:paraId="69A84E8C" w14:textId="4A73E062" w:rsidR="00D10E4F" w:rsidRDefault="00D10E4F" w:rsidP="002F0B0B">
      <w:pPr>
        <w:jc w:val="both"/>
      </w:pPr>
    </w:p>
    <w:sectPr w:rsidR="00D10E4F" w:rsidSect="00F80677">
      <w:pgSz w:w="11906" w:h="16838" w:code="9"/>
      <w:pgMar w:top="1440" w:right="1440" w:bottom="1440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F3B76"/>
    <w:multiLevelType w:val="multilevel"/>
    <w:tmpl w:val="B590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7F7FC3"/>
    <w:multiLevelType w:val="multilevel"/>
    <w:tmpl w:val="8308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428118">
    <w:abstractNumId w:val="0"/>
  </w:num>
  <w:num w:numId="2" w16cid:durableId="180781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A4"/>
    <w:rsid w:val="00143FA1"/>
    <w:rsid w:val="001B3D85"/>
    <w:rsid w:val="001E0A1F"/>
    <w:rsid w:val="002F0B0B"/>
    <w:rsid w:val="004E2FFB"/>
    <w:rsid w:val="00516A72"/>
    <w:rsid w:val="00594B67"/>
    <w:rsid w:val="00661275"/>
    <w:rsid w:val="00710E93"/>
    <w:rsid w:val="00A249F4"/>
    <w:rsid w:val="00A5048F"/>
    <w:rsid w:val="00A57F60"/>
    <w:rsid w:val="00AF0F0D"/>
    <w:rsid w:val="00BD417E"/>
    <w:rsid w:val="00C375D8"/>
    <w:rsid w:val="00C971A4"/>
    <w:rsid w:val="00D10E4F"/>
    <w:rsid w:val="00D62AA5"/>
    <w:rsid w:val="00D87A24"/>
    <w:rsid w:val="00F80677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38AA"/>
  <w15:chartTrackingRefBased/>
  <w15:docId w15:val="{5F536209-E11E-4D60-AE4D-52BEC088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60"/>
  </w:style>
  <w:style w:type="paragraph" w:styleId="Heading1">
    <w:name w:val="heading 1"/>
    <w:basedOn w:val="Normal"/>
    <w:next w:val="Normal"/>
    <w:link w:val="Heading1Char"/>
    <w:uiPriority w:val="9"/>
    <w:qFormat/>
    <w:rsid w:val="00F80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A57F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0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E73B-918E-49CA-8564-F68ED688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VALLEPU PADMA</dc:creator>
  <cp:keywords/>
  <dc:description/>
  <cp:lastModifiedBy>VALLEPU PADMA</cp:lastModifiedBy>
  <cp:revision>14</cp:revision>
  <dcterms:created xsi:type="dcterms:W3CDTF">2024-03-26T10:00:00Z</dcterms:created>
  <dcterms:modified xsi:type="dcterms:W3CDTF">2024-08-21T04:40:00Z</dcterms:modified>
</cp:coreProperties>
</file>