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1266D6">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proofErr w:type="gramStart"/>
      <w:r>
        <w:rPr>
          <w:rFonts w:eastAsia="Arial"/>
          <w:b/>
          <w:bCs/>
          <w:sz w:val="24"/>
          <w:szCs w:val="24"/>
        </w:rPr>
        <w:t>NIQ No</w:t>
      </w:r>
      <w:r w:rsidR="00BF5AD4" w:rsidRPr="00BF5AD4">
        <w:rPr>
          <w:rFonts w:eastAsia="Arial"/>
          <w:b/>
          <w:bCs/>
          <w:sz w:val="24"/>
          <w:szCs w:val="24"/>
        </w:rPr>
        <w:t>.</w:t>
      </w:r>
      <w:proofErr w:type="gramEnd"/>
      <w:r w:rsidR="00BF5AD4" w:rsidRPr="00BF5AD4">
        <w:rPr>
          <w:rFonts w:eastAsia="Arial"/>
          <w:b/>
          <w:bCs/>
          <w:sz w:val="24"/>
          <w:szCs w:val="24"/>
        </w:rPr>
        <w:t xml:space="preserve"> :</w:t>
      </w:r>
      <w:r w:rsidR="002F6F76" w:rsidRPr="002F6F76">
        <w:rPr>
          <w:rFonts w:eastAsia="Arial"/>
          <w:b/>
          <w:bCs/>
          <w:sz w:val="24"/>
          <w:szCs w:val="24"/>
        </w:rPr>
        <w:t xml:space="preserve"> </w:t>
      </w:r>
      <w:r w:rsidR="00350217" w:rsidRPr="00EC5035">
        <w:rPr>
          <w:rFonts w:eastAsia="Arial"/>
          <w:b/>
          <w:bCs/>
          <w:sz w:val="24"/>
          <w:szCs w:val="24"/>
        </w:rPr>
        <w:t>AIIMS/MG</w:t>
      </w:r>
      <w:r w:rsidR="00AF1258" w:rsidRPr="00EC5035">
        <w:rPr>
          <w:rFonts w:eastAsia="Arial"/>
          <w:b/>
          <w:bCs/>
          <w:sz w:val="24"/>
          <w:szCs w:val="24"/>
        </w:rPr>
        <w:t>/Stores</w:t>
      </w:r>
      <w:r w:rsidR="00FA552C" w:rsidRPr="00EC5035">
        <w:rPr>
          <w:rFonts w:eastAsia="Arial"/>
          <w:b/>
          <w:bCs/>
          <w:sz w:val="24"/>
          <w:szCs w:val="24"/>
        </w:rPr>
        <w:t xml:space="preserve">/ </w:t>
      </w:r>
      <w:r w:rsidR="00EA3DA6" w:rsidRPr="00EC5035">
        <w:rPr>
          <w:rFonts w:eastAsia="Arial"/>
          <w:b/>
          <w:bCs/>
          <w:sz w:val="24"/>
          <w:szCs w:val="24"/>
        </w:rPr>
        <w:t xml:space="preserve">ENT </w:t>
      </w:r>
      <w:r w:rsidR="009C2267" w:rsidRPr="00EC5035">
        <w:rPr>
          <w:rFonts w:eastAsia="Arial"/>
          <w:b/>
          <w:bCs/>
          <w:sz w:val="24"/>
          <w:szCs w:val="24"/>
        </w:rPr>
        <w:t xml:space="preserve">Department </w:t>
      </w:r>
      <w:r w:rsidR="0035529F" w:rsidRPr="00EC5035">
        <w:rPr>
          <w:rFonts w:eastAsia="Arial"/>
          <w:b/>
          <w:bCs/>
          <w:sz w:val="24"/>
          <w:szCs w:val="24"/>
        </w:rPr>
        <w:t>/</w:t>
      </w:r>
      <w:r w:rsidR="00673C43" w:rsidRPr="00EC5035">
        <w:rPr>
          <w:rFonts w:eastAsia="Arial"/>
          <w:b/>
          <w:bCs/>
          <w:sz w:val="24"/>
          <w:szCs w:val="24"/>
        </w:rPr>
        <w:t xml:space="preserve"> </w:t>
      </w:r>
      <w:r w:rsidR="002B67E6">
        <w:rPr>
          <w:rFonts w:eastAsia="Arial"/>
          <w:b/>
          <w:bCs/>
          <w:sz w:val="24"/>
          <w:szCs w:val="24"/>
        </w:rPr>
        <w:t>Tonsillectomy and adenoidectomy set</w:t>
      </w:r>
      <w:r w:rsidR="00EA3DA6">
        <w:rPr>
          <w:rFonts w:eastAsia="Arial"/>
          <w:b/>
          <w:bCs/>
          <w:sz w:val="24"/>
          <w:szCs w:val="24"/>
        </w:rPr>
        <w:t>/</w:t>
      </w:r>
      <w:r w:rsidR="00EC5035">
        <w:rPr>
          <w:rFonts w:eastAsia="Arial"/>
          <w:b/>
          <w:bCs/>
          <w:sz w:val="24"/>
          <w:szCs w:val="24"/>
        </w:rPr>
        <w:t>3</w:t>
      </w:r>
      <w:r w:rsidR="002B67E6">
        <w:rPr>
          <w:rFonts w:eastAsia="Arial"/>
          <w:b/>
          <w:bCs/>
          <w:sz w:val="24"/>
          <w:szCs w:val="24"/>
        </w:rPr>
        <w:t>8</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C5035">
        <w:rPr>
          <w:sz w:val="24"/>
          <w:szCs w:val="24"/>
        </w:rPr>
        <w:t xml:space="preserve">             </w:t>
      </w:r>
      <w:r w:rsidR="00EC5035">
        <w:rPr>
          <w:rFonts w:eastAsia="Arial"/>
          <w:b/>
          <w:bCs/>
          <w:sz w:val="24"/>
          <w:szCs w:val="24"/>
        </w:rPr>
        <w:t>Date</w:t>
      </w:r>
      <w:r w:rsidR="00AE6266">
        <w:rPr>
          <w:rFonts w:eastAsia="Arial"/>
          <w:b/>
          <w:bCs/>
          <w:sz w:val="24"/>
          <w:szCs w:val="24"/>
        </w:rPr>
        <w:t>:</w:t>
      </w:r>
      <w:r w:rsidR="00AE6266" w:rsidRPr="00EC5035">
        <w:rPr>
          <w:rFonts w:eastAsia="Arial"/>
          <w:b/>
          <w:bCs/>
          <w:sz w:val="24"/>
          <w:szCs w:val="24"/>
        </w:rPr>
        <w:t xml:space="preserve"> 19</w:t>
      </w:r>
      <w:r w:rsidR="00C6592D" w:rsidRPr="00EC5035">
        <w:rPr>
          <w:rFonts w:eastAsia="Arial"/>
          <w:b/>
          <w:bCs/>
          <w:sz w:val="24"/>
          <w:szCs w:val="24"/>
        </w:rPr>
        <w:t>/</w:t>
      </w:r>
      <w:r w:rsidR="00EC5035" w:rsidRPr="00EC5035">
        <w:rPr>
          <w:rFonts w:eastAsia="Arial"/>
          <w:b/>
          <w:bCs/>
          <w:sz w:val="24"/>
          <w:szCs w:val="24"/>
        </w:rPr>
        <w:t>03</w:t>
      </w:r>
      <w:r w:rsidRPr="00EC5035">
        <w:rPr>
          <w:rFonts w:eastAsia="Arial"/>
          <w:b/>
          <w:bCs/>
          <w:sz w:val="24"/>
          <w:szCs w:val="24"/>
        </w:rPr>
        <w:t>/202</w:t>
      </w:r>
      <w:r w:rsidR="005C57F9" w:rsidRPr="00EC5035">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C5035">
        <w:rPr>
          <w:rFonts w:eastAsia="Arial"/>
        </w:rPr>
        <w:t>“</w:t>
      </w:r>
      <w:r w:rsidR="00921481" w:rsidRPr="00EC5035">
        <w:rPr>
          <w:rFonts w:eastAsia="Arial"/>
          <w:b/>
          <w:sz w:val="24"/>
        </w:rPr>
        <w:t>NIQ for</w:t>
      </w:r>
      <w:r w:rsidR="00673C43" w:rsidRPr="00EC5035">
        <w:rPr>
          <w:rFonts w:eastAsia="Arial"/>
          <w:b/>
          <w:sz w:val="24"/>
        </w:rPr>
        <w:t xml:space="preserve"> supply of</w:t>
      </w:r>
      <w:r w:rsidR="00B92753" w:rsidRPr="00EC5035">
        <w:rPr>
          <w:rFonts w:eastAsia="Arial"/>
          <w:b/>
          <w:sz w:val="24"/>
        </w:rPr>
        <w:t xml:space="preserve"> </w:t>
      </w:r>
      <w:r w:rsidR="002B67E6">
        <w:rPr>
          <w:rFonts w:eastAsia="Arial"/>
          <w:b/>
          <w:bCs/>
          <w:sz w:val="24"/>
          <w:szCs w:val="24"/>
        </w:rPr>
        <w:t xml:space="preserve">Tonsillectomy and adenoidectomy set </w:t>
      </w:r>
      <w:r w:rsidR="00FA552C" w:rsidRPr="00EC5035">
        <w:rPr>
          <w:rFonts w:eastAsia="Arial"/>
          <w:b/>
          <w:sz w:val="24"/>
        </w:rPr>
        <w:t xml:space="preserve">for </w:t>
      </w:r>
      <w:r w:rsidR="00EC5035" w:rsidRPr="00EC5035">
        <w:rPr>
          <w:rFonts w:eastAsia="Arial"/>
          <w:b/>
          <w:sz w:val="24"/>
        </w:rPr>
        <w:t>EN</w:t>
      </w:r>
      <w:r w:rsidR="00FA552C" w:rsidRPr="00EC5035">
        <w:rPr>
          <w:rFonts w:eastAsia="Arial"/>
          <w:b/>
          <w:sz w:val="24"/>
        </w:rPr>
        <w:t>T</w:t>
      </w:r>
      <w:r w:rsidR="009C2267" w:rsidRPr="00EC5035">
        <w:rPr>
          <w:rFonts w:eastAsia="Arial"/>
          <w:b/>
          <w:sz w:val="24"/>
        </w:rPr>
        <w:t xml:space="preserve"> Department</w:t>
      </w:r>
      <w:r w:rsidR="0088224F" w:rsidRPr="00EC5035">
        <w:rPr>
          <w:rFonts w:eastAsia="Arial"/>
          <w:b/>
          <w:sz w:val="24"/>
        </w:rPr>
        <w:t>,</w:t>
      </w:r>
      <w:r w:rsidR="00921481" w:rsidRPr="00EC5035">
        <w:rPr>
          <w:rFonts w:eastAsia="Arial"/>
          <w:b/>
          <w:sz w:val="24"/>
        </w:rPr>
        <w:t xml:space="preserve"> </w:t>
      </w:r>
      <w:r w:rsidR="00CD3107" w:rsidRPr="00EC5035">
        <w:rPr>
          <w:rFonts w:eastAsia="Arial"/>
          <w:b/>
          <w:sz w:val="24"/>
        </w:rPr>
        <w:t xml:space="preserve">AIIMS </w:t>
      </w:r>
      <w:proofErr w:type="spellStart"/>
      <w:r w:rsidR="00CD3107" w:rsidRPr="00EC5035">
        <w:rPr>
          <w:rFonts w:eastAsia="Arial"/>
          <w:b/>
          <w:sz w:val="24"/>
        </w:rPr>
        <w:t>Mangalagiri</w:t>
      </w:r>
      <w:proofErr w:type="spellEnd"/>
      <w:r w:rsidR="00221B32" w:rsidRPr="00EC5035">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EC5035">
        <w:rPr>
          <w:rFonts w:eastAsia="Arial"/>
        </w:rPr>
        <w:t>“</w:t>
      </w:r>
      <w:r w:rsidR="00E67D14" w:rsidRPr="00EC5035">
        <w:rPr>
          <w:rFonts w:eastAsia="Arial"/>
          <w:b/>
          <w:sz w:val="24"/>
        </w:rPr>
        <w:t>NI</w:t>
      </w:r>
      <w:r w:rsidR="00EF3511" w:rsidRPr="00EC5035">
        <w:rPr>
          <w:rFonts w:eastAsia="Arial"/>
          <w:b/>
          <w:sz w:val="24"/>
        </w:rPr>
        <w:t>Q for supply of</w:t>
      </w:r>
      <w:r w:rsidR="00673C43" w:rsidRPr="00EC5035">
        <w:rPr>
          <w:rFonts w:eastAsia="Arial"/>
          <w:b/>
          <w:sz w:val="24"/>
        </w:rPr>
        <w:t xml:space="preserve"> </w:t>
      </w:r>
      <w:r w:rsidR="00FA552C" w:rsidRPr="00EC5035">
        <w:rPr>
          <w:rFonts w:eastAsia="Arial"/>
          <w:b/>
          <w:sz w:val="24"/>
        </w:rPr>
        <w:t xml:space="preserve"> </w:t>
      </w:r>
      <w:r w:rsidR="002B67E6">
        <w:rPr>
          <w:rFonts w:eastAsia="Arial"/>
          <w:b/>
          <w:bCs/>
          <w:sz w:val="24"/>
          <w:szCs w:val="24"/>
        </w:rPr>
        <w:t xml:space="preserve">Tonsillectomy and adenoidectomy set </w:t>
      </w:r>
      <w:r w:rsidR="00FA552C" w:rsidRPr="00EC5035">
        <w:rPr>
          <w:rFonts w:eastAsia="Arial"/>
          <w:b/>
          <w:sz w:val="24"/>
        </w:rPr>
        <w:t xml:space="preserve"> for </w:t>
      </w:r>
      <w:r w:rsidR="00EC5035" w:rsidRPr="00EC5035">
        <w:rPr>
          <w:rFonts w:eastAsia="Arial"/>
          <w:b/>
          <w:sz w:val="24"/>
        </w:rPr>
        <w:t>ENT</w:t>
      </w:r>
      <w:r w:rsidR="0015729A" w:rsidRPr="00EC5035">
        <w:rPr>
          <w:rFonts w:eastAsia="Arial"/>
          <w:b/>
          <w:sz w:val="24"/>
        </w:rPr>
        <w:t xml:space="preserve"> Department</w:t>
      </w:r>
      <w:r w:rsidR="008D638C" w:rsidRPr="00EC5035">
        <w:rPr>
          <w:rFonts w:eastAsia="Arial"/>
          <w:b/>
          <w:sz w:val="24"/>
        </w:rPr>
        <w:t xml:space="preserve">, </w:t>
      </w:r>
      <w:r w:rsidR="00E67D14" w:rsidRPr="00EC5035">
        <w:rPr>
          <w:rFonts w:eastAsia="Arial"/>
          <w:b/>
          <w:sz w:val="24"/>
        </w:rPr>
        <w:t xml:space="preserve">AIIMS </w:t>
      </w:r>
      <w:proofErr w:type="spellStart"/>
      <w:r w:rsidR="00E67D14" w:rsidRPr="00EC5035">
        <w:rPr>
          <w:rFonts w:eastAsia="Arial"/>
          <w:b/>
          <w:sz w:val="24"/>
        </w:rPr>
        <w:t>Mangalagiri</w:t>
      </w:r>
      <w:proofErr w:type="spellEnd"/>
      <w:r w:rsidR="00E67D14" w:rsidRPr="00EC5035">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EC5035">
              <w:rPr>
                <w:rFonts w:eastAsia="Arial"/>
                <w:bCs/>
                <w:sz w:val="24"/>
                <w:szCs w:val="24"/>
              </w:rPr>
              <w:t>1.</w:t>
            </w:r>
          </w:p>
        </w:tc>
        <w:tc>
          <w:tcPr>
            <w:tcW w:w="3766" w:type="dxa"/>
            <w:vAlign w:val="center"/>
          </w:tcPr>
          <w:p w:rsidR="00FA552C" w:rsidRPr="002B67E6" w:rsidRDefault="002B67E6" w:rsidP="00EC5035">
            <w:pPr>
              <w:rPr>
                <w:rFonts w:eastAsia="Arial"/>
                <w:bCs/>
                <w:sz w:val="24"/>
                <w:szCs w:val="24"/>
                <w:highlight w:val="yellow"/>
              </w:rPr>
            </w:pPr>
            <w:r w:rsidRPr="002B67E6">
              <w:rPr>
                <w:rFonts w:eastAsia="Arial"/>
                <w:bCs/>
                <w:sz w:val="24"/>
                <w:szCs w:val="24"/>
              </w:rPr>
              <w:t>Tonsillectomy and adenoidectomy set</w:t>
            </w:r>
          </w:p>
        </w:tc>
        <w:tc>
          <w:tcPr>
            <w:tcW w:w="2329" w:type="dxa"/>
            <w:vAlign w:val="center"/>
          </w:tcPr>
          <w:p w:rsidR="00FA552C" w:rsidRPr="00EC5035" w:rsidRDefault="00FA552C" w:rsidP="005A1514">
            <w:pPr>
              <w:jc w:val="center"/>
              <w:rPr>
                <w:rFonts w:eastAsia="Arial"/>
                <w:bCs/>
                <w:sz w:val="24"/>
                <w:szCs w:val="24"/>
                <w:highlight w:val="yellow"/>
              </w:rPr>
            </w:pPr>
            <w:r w:rsidRPr="00EC5035">
              <w:rPr>
                <w:rFonts w:eastAsia="Arial"/>
                <w:bCs/>
                <w:sz w:val="24"/>
                <w:szCs w:val="24"/>
              </w:rPr>
              <w:t>As detailed below</w:t>
            </w:r>
          </w:p>
        </w:tc>
        <w:tc>
          <w:tcPr>
            <w:tcW w:w="2458" w:type="dxa"/>
            <w:vAlign w:val="center"/>
          </w:tcPr>
          <w:p w:rsidR="00FA552C" w:rsidRPr="000810B6" w:rsidRDefault="00EC5035" w:rsidP="005A1514">
            <w:pPr>
              <w:jc w:val="center"/>
              <w:rPr>
                <w:rFonts w:eastAsia="Arial"/>
                <w:bCs/>
                <w:sz w:val="24"/>
                <w:szCs w:val="24"/>
                <w:highlight w:val="yellow"/>
              </w:rPr>
            </w:pPr>
            <w:r w:rsidRPr="00EC5035">
              <w:rPr>
                <w:rFonts w:eastAsia="Arial"/>
                <w:bCs/>
                <w:sz w:val="24"/>
                <w:szCs w:val="24"/>
              </w:rPr>
              <w:t>1 set</w:t>
            </w:r>
          </w:p>
        </w:tc>
      </w:tr>
    </w:tbl>
    <w:p w:rsidR="00EF3511" w:rsidRPr="00EF3511" w:rsidRDefault="00EF3511" w:rsidP="00EF3511">
      <w:pPr>
        <w:pStyle w:val="ListParagraph"/>
        <w:spacing w:line="276" w:lineRule="auto"/>
        <w:ind w:left="567"/>
        <w:rPr>
          <w:b/>
          <w:sz w:val="24"/>
          <w:szCs w:val="24"/>
          <w:u w:val="single"/>
        </w:rPr>
      </w:pPr>
    </w:p>
    <w:p w:rsidR="00DE7EAE" w:rsidRPr="00FA552C" w:rsidRDefault="00FA552C" w:rsidP="00EC7080">
      <w:pPr>
        <w:pStyle w:val="ListParagraph"/>
        <w:spacing w:line="276" w:lineRule="auto"/>
        <w:ind w:left="862"/>
        <w:rPr>
          <w:b/>
          <w:sz w:val="24"/>
          <w:szCs w:val="24"/>
          <w:u w:val="single"/>
        </w:rPr>
      </w:pPr>
      <w:r w:rsidRPr="00EC5035">
        <w:rPr>
          <w:b/>
          <w:sz w:val="24"/>
          <w:szCs w:val="24"/>
          <w:u w:val="single"/>
        </w:rPr>
        <w:t xml:space="preserve">Technical Specifications of </w:t>
      </w:r>
      <w:r w:rsidR="009A611F" w:rsidRPr="009A611F">
        <w:rPr>
          <w:rFonts w:eastAsia="Arial"/>
          <w:b/>
          <w:bCs/>
          <w:sz w:val="24"/>
          <w:szCs w:val="24"/>
          <w:u w:val="single"/>
        </w:rPr>
        <w:t>Tonsillectomy and adenoidectomy set</w:t>
      </w:r>
    </w:p>
    <w:p w:rsidR="00FA552C" w:rsidRDefault="00FA552C" w:rsidP="00EC7080">
      <w:pPr>
        <w:pStyle w:val="ListParagraph"/>
        <w:spacing w:line="276" w:lineRule="auto"/>
        <w:ind w:left="862"/>
        <w:rPr>
          <w:sz w:val="24"/>
          <w:szCs w:val="24"/>
        </w:rPr>
      </w:pPr>
    </w:p>
    <w:tbl>
      <w:tblPr>
        <w:tblStyle w:val="TableGrid"/>
        <w:tblW w:w="9380" w:type="dxa"/>
        <w:tblInd w:w="392" w:type="dxa"/>
        <w:tblLook w:val="04A0"/>
      </w:tblPr>
      <w:tblGrid>
        <w:gridCol w:w="850"/>
        <w:gridCol w:w="5529"/>
        <w:gridCol w:w="3001"/>
      </w:tblGrid>
      <w:tr w:rsidR="00FA552C" w:rsidTr="007367B7">
        <w:trPr>
          <w:trHeight w:val="301"/>
        </w:trPr>
        <w:tc>
          <w:tcPr>
            <w:tcW w:w="850" w:type="dxa"/>
            <w:vAlign w:val="center"/>
          </w:tcPr>
          <w:p w:rsidR="00FA552C" w:rsidRPr="007367B7" w:rsidRDefault="00FA552C" w:rsidP="0064325B">
            <w:pPr>
              <w:pStyle w:val="ListParagraph"/>
              <w:spacing w:line="276" w:lineRule="auto"/>
              <w:ind w:left="0"/>
              <w:jc w:val="center"/>
              <w:rPr>
                <w:b/>
                <w:sz w:val="24"/>
                <w:szCs w:val="24"/>
              </w:rPr>
            </w:pPr>
            <w:proofErr w:type="spellStart"/>
            <w:r w:rsidRPr="007367B7">
              <w:rPr>
                <w:b/>
                <w:sz w:val="24"/>
                <w:szCs w:val="24"/>
              </w:rPr>
              <w:t>S.No</w:t>
            </w:r>
            <w:proofErr w:type="spellEnd"/>
          </w:p>
        </w:tc>
        <w:tc>
          <w:tcPr>
            <w:tcW w:w="5529" w:type="dxa"/>
            <w:vAlign w:val="center"/>
          </w:tcPr>
          <w:p w:rsidR="00FA552C" w:rsidRPr="007367B7" w:rsidRDefault="00FA552C" w:rsidP="0064325B">
            <w:pPr>
              <w:pStyle w:val="ListParagraph"/>
              <w:spacing w:line="276" w:lineRule="auto"/>
              <w:ind w:left="0"/>
              <w:jc w:val="center"/>
              <w:rPr>
                <w:b/>
                <w:sz w:val="24"/>
                <w:szCs w:val="24"/>
              </w:rPr>
            </w:pPr>
            <w:r w:rsidRPr="007367B7">
              <w:rPr>
                <w:b/>
                <w:sz w:val="24"/>
                <w:szCs w:val="24"/>
              </w:rPr>
              <w:t>Specifications</w:t>
            </w:r>
          </w:p>
        </w:tc>
        <w:tc>
          <w:tcPr>
            <w:tcW w:w="3001" w:type="dxa"/>
            <w:vAlign w:val="center"/>
          </w:tcPr>
          <w:p w:rsidR="00FA552C" w:rsidRPr="007367B7" w:rsidRDefault="00FA552C" w:rsidP="0064325B">
            <w:pPr>
              <w:pStyle w:val="ListParagraph"/>
              <w:spacing w:line="276" w:lineRule="auto"/>
              <w:ind w:left="0"/>
              <w:jc w:val="center"/>
              <w:rPr>
                <w:b/>
                <w:sz w:val="24"/>
                <w:szCs w:val="24"/>
              </w:rPr>
            </w:pPr>
            <w:r w:rsidRPr="007367B7">
              <w:rPr>
                <w:b/>
                <w:sz w:val="24"/>
                <w:szCs w:val="24"/>
              </w:rPr>
              <w:t>Requirement</w:t>
            </w:r>
          </w:p>
        </w:tc>
      </w:tr>
      <w:tr w:rsidR="00FA552C" w:rsidTr="002B67E6">
        <w:trPr>
          <w:trHeight w:val="290"/>
        </w:trPr>
        <w:tc>
          <w:tcPr>
            <w:tcW w:w="850" w:type="dxa"/>
            <w:vAlign w:val="center"/>
          </w:tcPr>
          <w:p w:rsidR="00FA552C" w:rsidRPr="007367B7" w:rsidRDefault="00FA552C" w:rsidP="0064325B">
            <w:pPr>
              <w:pStyle w:val="ListParagraph"/>
              <w:spacing w:line="276" w:lineRule="auto"/>
              <w:ind w:left="0"/>
              <w:jc w:val="center"/>
              <w:rPr>
                <w:sz w:val="24"/>
                <w:szCs w:val="24"/>
              </w:rPr>
            </w:pPr>
            <w:r w:rsidRPr="007367B7">
              <w:rPr>
                <w:sz w:val="24"/>
                <w:szCs w:val="24"/>
              </w:rPr>
              <w:t>1</w:t>
            </w:r>
          </w:p>
        </w:tc>
        <w:tc>
          <w:tcPr>
            <w:tcW w:w="5529" w:type="dxa"/>
            <w:vAlign w:val="center"/>
          </w:tcPr>
          <w:p w:rsidR="00FA552C" w:rsidRPr="002B67E6" w:rsidRDefault="002B67E6" w:rsidP="002B67E6">
            <w:pPr>
              <w:pStyle w:val="ListParagraph"/>
              <w:spacing w:line="276" w:lineRule="auto"/>
              <w:ind w:left="0"/>
              <w:rPr>
                <w:sz w:val="24"/>
                <w:szCs w:val="24"/>
              </w:rPr>
            </w:pPr>
            <w:r w:rsidRPr="002B67E6">
              <w:rPr>
                <w:color w:val="0C1214"/>
                <w:spacing w:val="5"/>
                <w:sz w:val="24"/>
              </w:rPr>
              <w:t>Boyle Davis mouth gag with tongue blade</w:t>
            </w:r>
          </w:p>
        </w:tc>
        <w:tc>
          <w:tcPr>
            <w:tcW w:w="3001" w:type="dxa"/>
            <w:vAlign w:val="center"/>
          </w:tcPr>
          <w:p w:rsidR="00FA552C" w:rsidRPr="007367B7" w:rsidRDefault="00EC5035" w:rsidP="0064325B">
            <w:pPr>
              <w:pStyle w:val="ListParagraph"/>
              <w:spacing w:line="276" w:lineRule="auto"/>
              <w:ind w:left="0"/>
              <w:jc w:val="center"/>
              <w:rPr>
                <w:sz w:val="24"/>
                <w:szCs w:val="24"/>
              </w:rPr>
            </w:pPr>
            <w:r w:rsidRPr="007367B7">
              <w:rPr>
                <w:sz w:val="24"/>
                <w:szCs w:val="24"/>
              </w:rPr>
              <w:t>1 no</w:t>
            </w:r>
          </w:p>
        </w:tc>
      </w:tr>
      <w:tr w:rsidR="00FA552C" w:rsidTr="002B67E6">
        <w:trPr>
          <w:trHeight w:val="290"/>
        </w:trPr>
        <w:tc>
          <w:tcPr>
            <w:tcW w:w="850" w:type="dxa"/>
            <w:vAlign w:val="center"/>
          </w:tcPr>
          <w:p w:rsidR="00FA552C" w:rsidRPr="007367B7" w:rsidRDefault="00FA552C" w:rsidP="0064325B">
            <w:pPr>
              <w:pStyle w:val="ListParagraph"/>
              <w:spacing w:line="276" w:lineRule="auto"/>
              <w:ind w:left="0"/>
              <w:jc w:val="center"/>
              <w:rPr>
                <w:sz w:val="24"/>
                <w:szCs w:val="24"/>
              </w:rPr>
            </w:pPr>
            <w:r w:rsidRPr="007367B7">
              <w:rPr>
                <w:sz w:val="24"/>
                <w:szCs w:val="24"/>
              </w:rPr>
              <w:t>2</w:t>
            </w:r>
          </w:p>
        </w:tc>
        <w:tc>
          <w:tcPr>
            <w:tcW w:w="5529" w:type="dxa"/>
            <w:vAlign w:val="center"/>
          </w:tcPr>
          <w:p w:rsidR="00FA552C" w:rsidRPr="002B67E6" w:rsidRDefault="002B67E6" w:rsidP="002B67E6">
            <w:pPr>
              <w:tabs>
                <w:tab w:val="right" w:pos="4392"/>
              </w:tabs>
              <w:spacing w:line="276" w:lineRule="auto"/>
              <w:rPr>
                <w:color w:val="090D13"/>
                <w:spacing w:val="3"/>
                <w:sz w:val="24"/>
                <w:szCs w:val="24"/>
              </w:rPr>
            </w:pPr>
            <w:proofErr w:type="spellStart"/>
            <w:r w:rsidRPr="002B67E6">
              <w:rPr>
                <w:color w:val="0C1214"/>
                <w:spacing w:val="5"/>
                <w:sz w:val="24"/>
              </w:rPr>
              <w:t>Draffin</w:t>
            </w:r>
            <w:proofErr w:type="spellEnd"/>
            <w:r w:rsidRPr="002B67E6">
              <w:rPr>
                <w:color w:val="0C1214"/>
                <w:spacing w:val="5"/>
                <w:sz w:val="24"/>
              </w:rPr>
              <w:t xml:space="preserve"> bipods with </w:t>
            </w:r>
            <w:proofErr w:type="spellStart"/>
            <w:r w:rsidRPr="002B67E6">
              <w:rPr>
                <w:color w:val="0C1214"/>
                <w:spacing w:val="5"/>
                <w:sz w:val="24"/>
              </w:rPr>
              <w:t>Magauren</w:t>
            </w:r>
            <w:proofErr w:type="spellEnd"/>
            <w:r w:rsidRPr="002B67E6">
              <w:rPr>
                <w:color w:val="0C1214"/>
                <w:spacing w:val="5"/>
                <w:sz w:val="24"/>
              </w:rPr>
              <w:t xml:space="preserve"> plate</w:t>
            </w:r>
          </w:p>
        </w:tc>
        <w:tc>
          <w:tcPr>
            <w:tcW w:w="3001" w:type="dxa"/>
            <w:vAlign w:val="center"/>
          </w:tcPr>
          <w:p w:rsidR="00FA552C" w:rsidRPr="007367B7" w:rsidRDefault="002B67E6" w:rsidP="0064325B">
            <w:pPr>
              <w:pStyle w:val="ListParagraph"/>
              <w:spacing w:line="276" w:lineRule="auto"/>
              <w:ind w:left="0"/>
              <w:jc w:val="center"/>
              <w:rPr>
                <w:sz w:val="24"/>
                <w:szCs w:val="24"/>
              </w:rPr>
            </w:pPr>
            <w:r w:rsidRPr="007367B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3</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6"/>
                <w:sz w:val="24"/>
              </w:rPr>
              <w:t>Dennis Browne tonsil holding forceps</w:t>
            </w:r>
          </w:p>
        </w:tc>
        <w:tc>
          <w:tcPr>
            <w:tcW w:w="3001" w:type="dxa"/>
          </w:tcPr>
          <w:p w:rsidR="007367B7" w:rsidRDefault="007367B7" w:rsidP="007367B7">
            <w:pPr>
              <w:jc w:val="center"/>
            </w:pPr>
            <w:r w:rsidRPr="00570E77">
              <w:rPr>
                <w:sz w:val="24"/>
                <w:szCs w:val="24"/>
              </w:rPr>
              <w:t>1 no</w:t>
            </w:r>
          </w:p>
        </w:tc>
      </w:tr>
      <w:tr w:rsidR="007367B7" w:rsidTr="002B67E6">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4</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3"/>
                <w:sz w:val="24"/>
              </w:rPr>
              <w:t>Mollison</w:t>
            </w:r>
            <w:proofErr w:type="spellEnd"/>
            <w:r w:rsidRPr="002B67E6">
              <w:rPr>
                <w:color w:val="0C1214"/>
                <w:spacing w:val="3"/>
                <w:sz w:val="24"/>
              </w:rPr>
              <w:t xml:space="preserve"> </w:t>
            </w:r>
            <w:proofErr w:type="spellStart"/>
            <w:r w:rsidRPr="002B67E6">
              <w:rPr>
                <w:color w:val="0C1214"/>
                <w:spacing w:val="3"/>
                <w:sz w:val="24"/>
              </w:rPr>
              <w:t>tonsillar</w:t>
            </w:r>
            <w:proofErr w:type="spellEnd"/>
            <w:r w:rsidRPr="002B67E6">
              <w:rPr>
                <w:color w:val="0C1214"/>
                <w:spacing w:val="3"/>
                <w:sz w:val="24"/>
              </w:rPr>
              <w:t xml:space="preserve"> dissector and pillar</w:t>
            </w:r>
          </w:p>
        </w:tc>
        <w:tc>
          <w:tcPr>
            <w:tcW w:w="3001" w:type="dxa"/>
          </w:tcPr>
          <w:p w:rsidR="007367B7" w:rsidRDefault="007367B7" w:rsidP="007367B7">
            <w:pPr>
              <w:jc w:val="center"/>
            </w:pPr>
            <w:r w:rsidRPr="00570E77">
              <w:rPr>
                <w:sz w:val="24"/>
                <w:szCs w:val="24"/>
              </w:rPr>
              <w:t>1 no</w:t>
            </w:r>
          </w:p>
        </w:tc>
      </w:tr>
      <w:tr w:rsidR="007367B7" w:rsidTr="002B67E6">
        <w:trPr>
          <w:trHeight w:val="579"/>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5</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4"/>
                <w:sz w:val="24"/>
              </w:rPr>
              <w:t xml:space="preserve">Eve </w:t>
            </w:r>
            <w:proofErr w:type="spellStart"/>
            <w:r w:rsidRPr="002B67E6">
              <w:rPr>
                <w:color w:val="0C1214"/>
                <w:spacing w:val="4"/>
                <w:sz w:val="24"/>
              </w:rPr>
              <w:t>tonsillar</w:t>
            </w:r>
            <w:proofErr w:type="spellEnd"/>
            <w:r w:rsidRPr="002B67E6">
              <w:rPr>
                <w:color w:val="0C1214"/>
                <w:spacing w:val="4"/>
                <w:sz w:val="24"/>
              </w:rPr>
              <w:t xml:space="preserve"> snare</w:t>
            </w:r>
          </w:p>
        </w:tc>
        <w:tc>
          <w:tcPr>
            <w:tcW w:w="3001" w:type="dxa"/>
          </w:tcPr>
          <w:p w:rsidR="007367B7" w:rsidRDefault="007367B7" w:rsidP="007367B7">
            <w:pPr>
              <w:jc w:val="center"/>
            </w:pPr>
            <w:r w:rsidRPr="00570E7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6</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5"/>
                <w:sz w:val="24"/>
              </w:rPr>
              <w:t>Birkett</w:t>
            </w:r>
            <w:proofErr w:type="spellEnd"/>
            <w:r w:rsidRPr="002B67E6">
              <w:rPr>
                <w:color w:val="0C1214"/>
                <w:spacing w:val="5"/>
                <w:sz w:val="24"/>
              </w:rPr>
              <w:t xml:space="preserve"> </w:t>
            </w:r>
            <w:proofErr w:type="spellStart"/>
            <w:r w:rsidRPr="002B67E6">
              <w:rPr>
                <w:color w:val="0C1214"/>
                <w:spacing w:val="5"/>
                <w:sz w:val="24"/>
              </w:rPr>
              <w:t>fi</w:t>
            </w:r>
            <w:proofErr w:type="spellEnd"/>
            <w:r w:rsidRPr="002B67E6">
              <w:rPr>
                <w:color w:val="0C1214"/>
                <w:spacing w:val="5"/>
                <w:sz w:val="24"/>
              </w:rPr>
              <w:t xml:space="preserve"> </w:t>
            </w:r>
            <w:proofErr w:type="spellStart"/>
            <w:r w:rsidRPr="002B67E6">
              <w:rPr>
                <w:color w:val="0C1214"/>
                <w:spacing w:val="5"/>
                <w:sz w:val="24"/>
              </w:rPr>
              <w:t>rst</w:t>
            </w:r>
            <w:proofErr w:type="spellEnd"/>
            <w:r w:rsidRPr="002B67E6">
              <w:rPr>
                <w:color w:val="0C1214"/>
                <w:spacing w:val="5"/>
                <w:sz w:val="24"/>
              </w:rPr>
              <w:t xml:space="preserve"> artery forceps</w:t>
            </w:r>
          </w:p>
        </w:tc>
        <w:tc>
          <w:tcPr>
            <w:tcW w:w="3001" w:type="dxa"/>
          </w:tcPr>
          <w:p w:rsidR="007367B7" w:rsidRDefault="007367B7" w:rsidP="007367B7">
            <w:pPr>
              <w:jc w:val="center"/>
            </w:pPr>
            <w:r w:rsidRPr="00570E77">
              <w:rPr>
                <w:sz w:val="24"/>
                <w:szCs w:val="24"/>
              </w:rPr>
              <w:t>1 no</w:t>
            </w:r>
          </w:p>
        </w:tc>
      </w:tr>
      <w:tr w:rsidR="007367B7" w:rsidTr="002B67E6">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7</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4"/>
                <w:sz w:val="24"/>
              </w:rPr>
              <w:t>Birkett</w:t>
            </w:r>
            <w:proofErr w:type="spellEnd"/>
            <w:r w:rsidRPr="002B67E6">
              <w:rPr>
                <w:color w:val="0C1214"/>
                <w:spacing w:val="4"/>
                <w:sz w:val="24"/>
              </w:rPr>
              <w:t xml:space="preserve"> gently curved </w:t>
            </w:r>
            <w:proofErr w:type="spellStart"/>
            <w:r w:rsidRPr="002B67E6">
              <w:rPr>
                <w:color w:val="0C1214"/>
                <w:spacing w:val="4"/>
                <w:sz w:val="24"/>
              </w:rPr>
              <w:t>fi</w:t>
            </w:r>
            <w:proofErr w:type="spellEnd"/>
            <w:r w:rsidRPr="002B67E6">
              <w:rPr>
                <w:color w:val="0C1214"/>
                <w:spacing w:val="4"/>
                <w:sz w:val="24"/>
              </w:rPr>
              <w:t xml:space="preserve"> </w:t>
            </w:r>
            <w:proofErr w:type="spellStart"/>
            <w:r w:rsidRPr="002B67E6">
              <w:rPr>
                <w:color w:val="0C1214"/>
                <w:spacing w:val="4"/>
                <w:sz w:val="24"/>
              </w:rPr>
              <w:t>rst</w:t>
            </w:r>
            <w:proofErr w:type="spellEnd"/>
            <w:r w:rsidRPr="002B67E6">
              <w:rPr>
                <w:color w:val="0C1214"/>
                <w:spacing w:val="4"/>
                <w:sz w:val="24"/>
              </w:rPr>
              <w:t xml:space="preserve"> artery forceps</w:t>
            </w:r>
          </w:p>
        </w:tc>
        <w:tc>
          <w:tcPr>
            <w:tcW w:w="3001" w:type="dxa"/>
          </w:tcPr>
          <w:p w:rsidR="007367B7" w:rsidRDefault="007367B7" w:rsidP="007367B7">
            <w:pPr>
              <w:jc w:val="center"/>
            </w:pPr>
            <w:r w:rsidRPr="00570E7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8</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4"/>
                <w:sz w:val="24"/>
              </w:rPr>
              <w:t>Yorke</w:t>
            </w:r>
            <w:proofErr w:type="spellEnd"/>
            <w:r w:rsidRPr="002B67E6">
              <w:rPr>
                <w:color w:val="0C1214"/>
                <w:spacing w:val="4"/>
                <w:sz w:val="24"/>
              </w:rPr>
              <w:t xml:space="preserve"> </w:t>
            </w:r>
            <w:proofErr w:type="spellStart"/>
            <w:r w:rsidRPr="002B67E6">
              <w:rPr>
                <w:color w:val="0C1214"/>
                <w:spacing w:val="4"/>
                <w:sz w:val="24"/>
              </w:rPr>
              <w:t>hemostatic</w:t>
            </w:r>
            <w:proofErr w:type="spellEnd"/>
            <w:r w:rsidRPr="002B67E6">
              <w:rPr>
                <w:color w:val="0C1214"/>
                <w:spacing w:val="4"/>
                <w:sz w:val="24"/>
              </w:rPr>
              <w:t xml:space="preserve"> </w:t>
            </w:r>
            <w:proofErr w:type="spellStart"/>
            <w:r w:rsidRPr="002B67E6">
              <w:rPr>
                <w:color w:val="0C1214"/>
                <w:spacing w:val="4"/>
                <w:sz w:val="24"/>
              </w:rPr>
              <w:t>tonsillar</w:t>
            </w:r>
            <w:proofErr w:type="spellEnd"/>
            <w:r w:rsidRPr="002B67E6">
              <w:rPr>
                <w:color w:val="0C1214"/>
                <w:spacing w:val="4"/>
                <w:sz w:val="24"/>
              </w:rPr>
              <w:t xml:space="preserve"> clamp</w:t>
            </w:r>
          </w:p>
        </w:tc>
        <w:tc>
          <w:tcPr>
            <w:tcW w:w="3001" w:type="dxa"/>
          </w:tcPr>
          <w:p w:rsidR="007367B7" w:rsidRDefault="007367B7" w:rsidP="007367B7">
            <w:pPr>
              <w:jc w:val="center"/>
            </w:pPr>
            <w:r w:rsidRPr="00570E77">
              <w:rPr>
                <w:sz w:val="24"/>
                <w:szCs w:val="24"/>
              </w:rPr>
              <w:t>1 no</w:t>
            </w:r>
          </w:p>
        </w:tc>
      </w:tr>
      <w:tr w:rsidR="007367B7" w:rsidTr="002B67E6">
        <w:trPr>
          <w:trHeight w:val="183"/>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9</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6"/>
                <w:sz w:val="24"/>
              </w:rPr>
              <w:t>Negus knot tier and ligature pusher</w:t>
            </w:r>
          </w:p>
        </w:tc>
        <w:tc>
          <w:tcPr>
            <w:tcW w:w="3001" w:type="dxa"/>
          </w:tcPr>
          <w:p w:rsidR="007367B7" w:rsidRDefault="007367B7" w:rsidP="007367B7">
            <w:pPr>
              <w:jc w:val="center"/>
            </w:pPr>
            <w:r w:rsidRPr="00570E7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10</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6"/>
                <w:sz w:val="24"/>
              </w:rPr>
              <w:t>Negus second artery forceps</w:t>
            </w:r>
          </w:p>
        </w:tc>
        <w:tc>
          <w:tcPr>
            <w:tcW w:w="3001" w:type="dxa"/>
          </w:tcPr>
          <w:p w:rsidR="007367B7" w:rsidRDefault="007367B7" w:rsidP="007367B7">
            <w:pPr>
              <w:jc w:val="center"/>
            </w:pPr>
            <w:r w:rsidRPr="00570E77">
              <w:rPr>
                <w:sz w:val="24"/>
                <w:szCs w:val="24"/>
              </w:rPr>
              <w:t>1 no</w:t>
            </w:r>
          </w:p>
        </w:tc>
      </w:tr>
      <w:tr w:rsidR="007367B7" w:rsidTr="002B67E6">
        <w:trPr>
          <w:trHeight w:val="536"/>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11</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4"/>
                <w:sz w:val="24"/>
              </w:rPr>
              <w:t xml:space="preserve">Irwin Moore </w:t>
            </w:r>
            <w:proofErr w:type="spellStart"/>
            <w:r w:rsidRPr="002B67E6">
              <w:rPr>
                <w:color w:val="0C1214"/>
                <w:spacing w:val="4"/>
                <w:sz w:val="24"/>
              </w:rPr>
              <w:t>tonsillar</w:t>
            </w:r>
            <w:proofErr w:type="spellEnd"/>
            <w:r w:rsidRPr="002B67E6">
              <w:rPr>
                <w:color w:val="0C1214"/>
                <w:spacing w:val="4"/>
                <w:sz w:val="24"/>
              </w:rPr>
              <w:t xml:space="preserve"> pillar suturing needle</w:t>
            </w:r>
          </w:p>
        </w:tc>
        <w:tc>
          <w:tcPr>
            <w:tcW w:w="3001" w:type="dxa"/>
          </w:tcPr>
          <w:p w:rsidR="007367B7" w:rsidRDefault="007367B7" w:rsidP="007367B7">
            <w:pPr>
              <w:jc w:val="center"/>
            </w:pPr>
            <w:r w:rsidRPr="00570E77">
              <w:rPr>
                <w:sz w:val="24"/>
                <w:szCs w:val="24"/>
              </w:rPr>
              <w:t>1 no</w:t>
            </w:r>
          </w:p>
        </w:tc>
      </w:tr>
      <w:tr w:rsidR="007367B7" w:rsidTr="002B67E6">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12</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4"/>
                <w:sz w:val="24"/>
              </w:rPr>
              <w:t>Colver</w:t>
            </w:r>
            <w:proofErr w:type="spellEnd"/>
            <w:r w:rsidRPr="002B67E6">
              <w:rPr>
                <w:color w:val="0C1214"/>
                <w:spacing w:val="4"/>
                <w:sz w:val="24"/>
              </w:rPr>
              <w:t xml:space="preserve"> </w:t>
            </w:r>
            <w:proofErr w:type="spellStart"/>
            <w:r w:rsidRPr="002B67E6">
              <w:rPr>
                <w:color w:val="0C1214"/>
                <w:spacing w:val="4"/>
                <w:sz w:val="24"/>
              </w:rPr>
              <w:t>tonsillar</w:t>
            </w:r>
            <w:proofErr w:type="spellEnd"/>
            <w:r w:rsidRPr="002B67E6">
              <w:rPr>
                <w:color w:val="0C1214"/>
                <w:spacing w:val="4"/>
                <w:sz w:val="24"/>
              </w:rPr>
              <w:t xml:space="preserve"> </w:t>
            </w:r>
            <w:proofErr w:type="spellStart"/>
            <w:r w:rsidRPr="002B67E6">
              <w:rPr>
                <w:color w:val="0C1214"/>
                <w:spacing w:val="4"/>
                <w:sz w:val="24"/>
              </w:rPr>
              <w:t>vulsellum</w:t>
            </w:r>
            <w:proofErr w:type="spellEnd"/>
            <w:r w:rsidRPr="002B67E6">
              <w:rPr>
                <w:color w:val="0C1214"/>
                <w:spacing w:val="4"/>
                <w:sz w:val="24"/>
              </w:rPr>
              <w:t xml:space="preserve"> forceps</w:t>
            </w:r>
          </w:p>
        </w:tc>
        <w:tc>
          <w:tcPr>
            <w:tcW w:w="3001" w:type="dxa"/>
          </w:tcPr>
          <w:p w:rsidR="007367B7" w:rsidRDefault="007367B7" w:rsidP="007367B7">
            <w:pPr>
              <w:jc w:val="center"/>
            </w:pPr>
            <w:r w:rsidRPr="00570E77">
              <w:rPr>
                <w:sz w:val="24"/>
                <w:szCs w:val="24"/>
              </w:rPr>
              <w:t>1 no</w:t>
            </w:r>
          </w:p>
        </w:tc>
      </w:tr>
      <w:tr w:rsidR="007367B7" w:rsidTr="002B67E6">
        <w:trPr>
          <w:trHeight w:val="30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13</w:t>
            </w:r>
          </w:p>
        </w:tc>
        <w:tc>
          <w:tcPr>
            <w:tcW w:w="5529" w:type="dxa"/>
            <w:vAlign w:val="center"/>
          </w:tcPr>
          <w:p w:rsidR="007367B7" w:rsidRDefault="002B67E6" w:rsidP="002B67E6">
            <w:pPr>
              <w:pStyle w:val="ListParagraph"/>
              <w:spacing w:line="276" w:lineRule="auto"/>
              <w:ind w:left="0"/>
              <w:rPr>
                <w:color w:val="0C1214"/>
                <w:spacing w:val="5"/>
                <w:sz w:val="24"/>
              </w:rPr>
            </w:pPr>
            <w:r w:rsidRPr="002B67E6">
              <w:rPr>
                <w:color w:val="0C1214"/>
                <w:spacing w:val="5"/>
                <w:sz w:val="24"/>
              </w:rPr>
              <w:t>St. Clair Thompson adenoid curette with cage</w:t>
            </w:r>
          </w:p>
          <w:p w:rsidR="002B67E6" w:rsidRPr="002B67E6" w:rsidRDefault="002B67E6" w:rsidP="002B67E6">
            <w:pPr>
              <w:pStyle w:val="ListParagraph"/>
              <w:spacing w:line="276" w:lineRule="auto"/>
              <w:ind w:left="0"/>
              <w:rPr>
                <w:sz w:val="24"/>
                <w:szCs w:val="24"/>
              </w:rPr>
            </w:pPr>
          </w:p>
        </w:tc>
        <w:tc>
          <w:tcPr>
            <w:tcW w:w="3001" w:type="dxa"/>
          </w:tcPr>
          <w:p w:rsidR="007367B7" w:rsidRDefault="007367B7" w:rsidP="007367B7">
            <w:pPr>
              <w:jc w:val="center"/>
            </w:pPr>
            <w:r w:rsidRPr="00570E77">
              <w:rPr>
                <w:sz w:val="24"/>
                <w:szCs w:val="24"/>
              </w:rPr>
              <w:t>1 no</w:t>
            </w:r>
          </w:p>
        </w:tc>
      </w:tr>
      <w:tr w:rsidR="001E4021" w:rsidTr="007367B7">
        <w:trPr>
          <w:trHeight w:val="403"/>
        </w:trPr>
        <w:tc>
          <w:tcPr>
            <w:tcW w:w="850" w:type="dxa"/>
            <w:vAlign w:val="center"/>
          </w:tcPr>
          <w:p w:rsidR="001E4021" w:rsidRPr="007367B7" w:rsidRDefault="001E4021" w:rsidP="000F69BA">
            <w:pPr>
              <w:pStyle w:val="ListParagraph"/>
              <w:spacing w:line="276" w:lineRule="auto"/>
              <w:ind w:left="0"/>
              <w:jc w:val="center"/>
              <w:rPr>
                <w:b/>
                <w:sz w:val="24"/>
                <w:szCs w:val="24"/>
              </w:rPr>
            </w:pPr>
            <w:proofErr w:type="spellStart"/>
            <w:r w:rsidRPr="007367B7">
              <w:rPr>
                <w:b/>
                <w:sz w:val="24"/>
                <w:szCs w:val="24"/>
              </w:rPr>
              <w:lastRenderedPageBreak/>
              <w:t>S.No</w:t>
            </w:r>
            <w:proofErr w:type="spellEnd"/>
          </w:p>
        </w:tc>
        <w:tc>
          <w:tcPr>
            <w:tcW w:w="5529" w:type="dxa"/>
            <w:vAlign w:val="center"/>
          </w:tcPr>
          <w:p w:rsidR="001E4021" w:rsidRPr="007367B7" w:rsidRDefault="001E4021" w:rsidP="000F69BA">
            <w:pPr>
              <w:pStyle w:val="ListParagraph"/>
              <w:spacing w:line="276" w:lineRule="auto"/>
              <w:ind w:left="0"/>
              <w:jc w:val="center"/>
              <w:rPr>
                <w:b/>
                <w:sz w:val="24"/>
                <w:szCs w:val="24"/>
              </w:rPr>
            </w:pPr>
            <w:r w:rsidRPr="007367B7">
              <w:rPr>
                <w:b/>
                <w:sz w:val="24"/>
                <w:szCs w:val="24"/>
              </w:rPr>
              <w:t>Specifications</w:t>
            </w:r>
          </w:p>
        </w:tc>
        <w:tc>
          <w:tcPr>
            <w:tcW w:w="3001" w:type="dxa"/>
            <w:vAlign w:val="center"/>
          </w:tcPr>
          <w:p w:rsidR="001E4021" w:rsidRPr="007367B7" w:rsidRDefault="001E4021" w:rsidP="000F69BA">
            <w:pPr>
              <w:pStyle w:val="ListParagraph"/>
              <w:spacing w:line="276" w:lineRule="auto"/>
              <w:ind w:left="0"/>
              <w:jc w:val="center"/>
              <w:rPr>
                <w:b/>
                <w:sz w:val="24"/>
                <w:szCs w:val="24"/>
              </w:rPr>
            </w:pPr>
            <w:r w:rsidRPr="007367B7">
              <w:rPr>
                <w:b/>
                <w:sz w:val="24"/>
                <w:szCs w:val="24"/>
              </w:rPr>
              <w:t>Requirement</w:t>
            </w:r>
          </w:p>
        </w:tc>
      </w:tr>
      <w:tr w:rsidR="007367B7" w:rsidTr="002B67E6">
        <w:trPr>
          <w:trHeight w:val="88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14</w:t>
            </w:r>
          </w:p>
        </w:tc>
        <w:tc>
          <w:tcPr>
            <w:tcW w:w="5529" w:type="dxa"/>
            <w:vAlign w:val="center"/>
          </w:tcPr>
          <w:p w:rsidR="007367B7" w:rsidRPr="007367B7" w:rsidRDefault="002B67E6" w:rsidP="007367B7">
            <w:pPr>
              <w:pStyle w:val="ListParagraph"/>
              <w:spacing w:line="276" w:lineRule="auto"/>
              <w:ind w:left="0"/>
              <w:rPr>
                <w:sz w:val="24"/>
                <w:szCs w:val="24"/>
              </w:rPr>
            </w:pPr>
            <w:r w:rsidRPr="002B67E6">
              <w:rPr>
                <w:color w:val="0C1214"/>
                <w:spacing w:val="6"/>
                <w:sz w:val="24"/>
              </w:rPr>
              <w:t>Beckmann adenoid curette without cage</w:t>
            </w:r>
          </w:p>
        </w:tc>
        <w:tc>
          <w:tcPr>
            <w:tcW w:w="3001" w:type="dxa"/>
            <w:vAlign w:val="center"/>
          </w:tcPr>
          <w:p w:rsidR="007367B7" w:rsidRDefault="007367B7" w:rsidP="002B67E6">
            <w:pPr>
              <w:jc w:val="center"/>
            </w:pPr>
            <w:r w:rsidRPr="0057261F">
              <w:rPr>
                <w:sz w:val="24"/>
                <w:szCs w:val="24"/>
              </w:rPr>
              <w:t>1 no</w:t>
            </w:r>
          </w:p>
        </w:tc>
      </w:tr>
    </w:tbl>
    <w:p w:rsidR="00FA552C" w:rsidRDefault="00FA552C"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Pr="007D7F5A" w:rsidRDefault="00DB50F1" w:rsidP="00DB50F1">
      <w:pPr>
        <w:pStyle w:val="ListParagraph"/>
        <w:tabs>
          <w:tab w:val="left" w:pos="426"/>
        </w:tabs>
        <w:spacing w:after="240" w:line="276" w:lineRule="auto"/>
        <w:ind w:left="709"/>
        <w:jc w:val="both"/>
        <w:rPr>
          <w:rFonts w:eastAsia="Arial"/>
          <w:b/>
          <w:bCs/>
          <w:sz w:val="28"/>
          <w:szCs w:val="24"/>
        </w:rPr>
      </w:pP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lastRenderedPageBreak/>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367B7">
        <w:rPr>
          <w:rFonts w:eastAsia="Arial"/>
        </w:rPr>
        <w:t>“</w:t>
      </w:r>
      <w:r w:rsidRPr="007367B7">
        <w:rPr>
          <w:rFonts w:eastAsia="Arial"/>
          <w:b/>
          <w:sz w:val="24"/>
        </w:rPr>
        <w:t xml:space="preserve">NIQ for </w:t>
      </w:r>
      <w:r w:rsidR="00C87346" w:rsidRPr="00C87346">
        <w:rPr>
          <w:rFonts w:eastAsia="Arial"/>
          <w:b/>
          <w:bCs/>
          <w:sz w:val="24"/>
          <w:szCs w:val="24"/>
        </w:rPr>
        <w:t>Tonsillectomy and adenoidectomy set</w:t>
      </w:r>
      <w:r w:rsidR="00C87346" w:rsidRPr="00C87346">
        <w:rPr>
          <w:rFonts w:eastAsia="Arial"/>
          <w:b/>
          <w:sz w:val="24"/>
        </w:rPr>
        <w:t xml:space="preserve"> </w:t>
      </w:r>
      <w:r w:rsidR="007367B7" w:rsidRPr="00C87346">
        <w:rPr>
          <w:rFonts w:eastAsia="Arial"/>
          <w:b/>
          <w:sz w:val="24"/>
        </w:rPr>
        <w:t>for</w:t>
      </w:r>
      <w:r w:rsidR="007367B7" w:rsidRPr="007367B7">
        <w:rPr>
          <w:rFonts w:eastAsia="Arial"/>
          <w:b/>
          <w:sz w:val="24"/>
        </w:rPr>
        <w:t xml:space="preserve"> 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 xml:space="preserve">, AIIMS </w:t>
      </w:r>
      <w:proofErr w:type="spellStart"/>
      <w:r w:rsidR="0064325B" w:rsidRPr="007367B7">
        <w:rPr>
          <w:rFonts w:eastAsia="Arial"/>
          <w:b/>
          <w:sz w:val="24"/>
        </w:rPr>
        <w:t>Mangalagiri</w:t>
      </w:r>
      <w:proofErr w:type="spellEnd"/>
      <w:r w:rsidRPr="007367B7">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7367B7" w:rsidRPr="007367B7">
        <w:rPr>
          <w:rFonts w:eastAsia="Arial"/>
          <w:b/>
          <w:bCs/>
          <w:color w:val="FF0000"/>
          <w:sz w:val="24"/>
          <w:szCs w:val="24"/>
        </w:rPr>
        <w:t>0</w:t>
      </w:r>
      <w:r w:rsidR="00AE6266">
        <w:rPr>
          <w:rFonts w:eastAsia="Arial"/>
          <w:b/>
          <w:bCs/>
          <w:color w:val="FF0000"/>
          <w:sz w:val="24"/>
          <w:szCs w:val="24"/>
        </w:rPr>
        <w:t>2</w:t>
      </w:r>
      <w:r w:rsidR="00DD18CA" w:rsidRPr="007367B7">
        <w:rPr>
          <w:rFonts w:eastAsia="Arial"/>
          <w:b/>
          <w:bCs/>
          <w:color w:val="FF0000"/>
          <w:sz w:val="24"/>
          <w:szCs w:val="24"/>
        </w:rPr>
        <w:t>/</w:t>
      </w:r>
      <w:r w:rsidR="00FC3448" w:rsidRPr="007367B7">
        <w:rPr>
          <w:rFonts w:eastAsia="Arial"/>
          <w:b/>
          <w:bCs/>
          <w:color w:val="FF0000"/>
          <w:sz w:val="24"/>
          <w:szCs w:val="24"/>
        </w:rPr>
        <w:t xml:space="preserve"> </w:t>
      </w:r>
      <w:r w:rsidR="007367B7" w:rsidRPr="007367B7">
        <w:rPr>
          <w:rFonts w:eastAsia="Arial"/>
          <w:b/>
          <w:bCs/>
          <w:color w:val="FF0000"/>
          <w:sz w:val="24"/>
          <w:szCs w:val="24"/>
        </w:rPr>
        <w:t>04</w:t>
      </w:r>
      <w:r w:rsidR="00FC3448" w:rsidRPr="007367B7">
        <w:rPr>
          <w:rFonts w:eastAsia="Arial"/>
          <w:b/>
          <w:bCs/>
          <w:color w:val="FF0000"/>
          <w:sz w:val="24"/>
          <w:szCs w:val="24"/>
        </w:rPr>
        <w:t xml:space="preserve"> </w:t>
      </w:r>
      <w:r w:rsidRPr="007367B7">
        <w:rPr>
          <w:rFonts w:eastAsia="Arial"/>
          <w:b/>
          <w:bCs/>
          <w:color w:val="FF0000"/>
          <w:sz w:val="24"/>
          <w:szCs w:val="24"/>
        </w:rPr>
        <w:t>/202</w:t>
      </w:r>
      <w:r w:rsidR="002D20EC" w:rsidRPr="007367B7">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367B7">
        <w:rPr>
          <w:rFonts w:eastAsia="Arial"/>
          <w:b/>
          <w:sz w:val="24"/>
        </w:rPr>
        <w:t>NIQ for</w:t>
      </w:r>
      <w:r w:rsidR="00E50C64" w:rsidRPr="007367B7">
        <w:rPr>
          <w:rFonts w:eastAsia="Arial"/>
          <w:b/>
          <w:sz w:val="24"/>
        </w:rPr>
        <w:t xml:space="preserve"> supply </w:t>
      </w:r>
      <w:r w:rsidR="0064325B" w:rsidRPr="007367B7">
        <w:rPr>
          <w:rFonts w:eastAsia="Arial"/>
          <w:b/>
          <w:sz w:val="24"/>
        </w:rPr>
        <w:t xml:space="preserve">of </w:t>
      </w:r>
      <w:r w:rsidR="00C87346" w:rsidRPr="00C87346">
        <w:rPr>
          <w:rFonts w:eastAsia="Arial"/>
          <w:b/>
          <w:bCs/>
          <w:sz w:val="24"/>
          <w:szCs w:val="24"/>
        </w:rPr>
        <w:t>Tonsillectomy and adenoidectomy set</w:t>
      </w:r>
      <w:r w:rsidR="00C87346" w:rsidRPr="007367B7">
        <w:rPr>
          <w:rFonts w:eastAsia="Arial"/>
          <w:b/>
          <w:sz w:val="24"/>
        </w:rPr>
        <w:t xml:space="preserve"> </w:t>
      </w:r>
      <w:r w:rsidR="0064325B" w:rsidRPr="007367B7">
        <w:rPr>
          <w:rFonts w:eastAsia="Arial"/>
          <w:b/>
          <w:sz w:val="24"/>
        </w:rPr>
        <w:t xml:space="preserve">for </w:t>
      </w:r>
      <w:r w:rsidR="007367B7" w:rsidRPr="007367B7">
        <w:rPr>
          <w:rFonts w:eastAsia="Arial"/>
          <w:b/>
          <w:sz w:val="24"/>
        </w:rPr>
        <w:t>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1266D6"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C87346">
      <w:pPr>
        <w:pStyle w:val="NoSpacing"/>
        <w:rPr>
          <w:rFonts w:eastAsia="Arial"/>
        </w:rPr>
      </w:pPr>
      <w:r>
        <w:rPr>
          <w:rFonts w:eastAsia="Arial"/>
        </w:rPr>
        <w:t xml:space="preserve">         </w:t>
      </w:r>
      <w:r w:rsidR="009E5BCC">
        <w:rPr>
          <w:rFonts w:eastAsia="Arial"/>
        </w:rPr>
        <w:t xml:space="preserve">   </w:t>
      </w:r>
      <w:proofErr w:type="gramStart"/>
      <w:r w:rsidR="007D6E3D">
        <w:rPr>
          <w:rFonts w:eastAsia="Arial"/>
        </w:rPr>
        <w:t>“</w:t>
      </w:r>
      <w:r w:rsidR="007D6E3D" w:rsidRPr="00C87346">
        <w:rPr>
          <w:rFonts w:eastAsia="Arial"/>
          <w:b/>
          <w:sz w:val="24"/>
        </w:rPr>
        <w:t xml:space="preserve">NIQ for supply </w:t>
      </w:r>
      <w:r w:rsidR="00052597" w:rsidRPr="00C87346">
        <w:rPr>
          <w:rFonts w:eastAsia="Arial"/>
          <w:b/>
          <w:sz w:val="24"/>
        </w:rPr>
        <w:t xml:space="preserve">of </w:t>
      </w:r>
      <w:r w:rsidR="00C87346" w:rsidRPr="00C87346">
        <w:rPr>
          <w:rFonts w:eastAsia="Arial"/>
          <w:b/>
          <w:bCs/>
          <w:sz w:val="24"/>
          <w:szCs w:val="24"/>
        </w:rPr>
        <w:t>Tonsillectomy and adenoidectomy set</w:t>
      </w:r>
      <w:r w:rsidR="007367B7" w:rsidRPr="00C87346">
        <w:rPr>
          <w:rFonts w:eastAsia="Arial"/>
          <w:b/>
          <w:sz w:val="24"/>
        </w:rPr>
        <w:t xml:space="preserve"> for EN</w:t>
      </w:r>
      <w:r w:rsidR="00713EED" w:rsidRPr="00C87346">
        <w:rPr>
          <w:rFonts w:eastAsia="Arial"/>
          <w:b/>
          <w:sz w:val="24"/>
        </w:rPr>
        <w:t>T</w:t>
      </w:r>
      <w:r w:rsidR="009E5BCC" w:rsidRPr="00C87346">
        <w:rPr>
          <w:rFonts w:eastAsia="Arial"/>
          <w:b/>
          <w:sz w:val="24"/>
        </w:rPr>
        <w:t xml:space="preserve"> Department</w:t>
      </w:r>
      <w:r w:rsidR="00713EED" w:rsidRPr="00C87346">
        <w:rPr>
          <w:rFonts w:eastAsia="Arial"/>
          <w:b/>
          <w:sz w:val="24"/>
        </w:rPr>
        <w:t xml:space="preserve">, </w:t>
      </w:r>
      <w:r w:rsidR="00C87346">
        <w:rPr>
          <w:rFonts w:eastAsia="Arial"/>
          <w:b/>
          <w:sz w:val="24"/>
        </w:rPr>
        <w:br/>
        <w:t xml:space="preserve">            </w:t>
      </w:r>
      <w:r w:rsidR="007D6E3D" w:rsidRPr="00C87346">
        <w:rPr>
          <w:rFonts w:eastAsia="Arial"/>
          <w:b/>
          <w:sz w:val="24"/>
        </w:rPr>
        <w:t xml:space="preserve">AIIMS </w:t>
      </w:r>
      <w:proofErr w:type="spellStart"/>
      <w:r w:rsidR="007D6E3D" w:rsidRPr="00C87346">
        <w:rPr>
          <w:rFonts w:eastAsia="Arial"/>
          <w:b/>
          <w:sz w:val="24"/>
        </w:rPr>
        <w:t>Mangalagiri</w:t>
      </w:r>
      <w:proofErr w:type="spellEnd"/>
      <w:r w:rsidR="007D6E3D" w:rsidRPr="00C87346">
        <w:rPr>
          <w:rFonts w:eastAsia="Arial"/>
          <w:b/>
          <w:sz w:val="24"/>
        </w:rPr>
        <w:t>”.</w:t>
      </w:r>
      <w:proofErr w:type="gramEnd"/>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proofErr w:type="gramStart"/>
      <w:r w:rsidRPr="007367B7">
        <w:rPr>
          <w:rFonts w:eastAsia="Calibri"/>
          <w:b/>
          <w:bCs/>
          <w:sz w:val="24"/>
          <w:szCs w:val="24"/>
        </w:rPr>
        <w:t>Quotation Reference No.</w:t>
      </w:r>
      <w:proofErr w:type="gramEnd"/>
      <w:r w:rsidR="005952F5" w:rsidRPr="007367B7">
        <w:rPr>
          <w:rFonts w:eastAsia="Calibri"/>
          <w:b/>
          <w:bCs/>
          <w:sz w:val="24"/>
          <w:szCs w:val="24"/>
        </w:rPr>
        <w:t xml:space="preserve"> </w:t>
      </w:r>
      <w:r w:rsidRPr="007367B7">
        <w:rPr>
          <w:rFonts w:eastAsia="Calibri"/>
          <w:b/>
          <w:bCs/>
          <w:sz w:val="24"/>
          <w:szCs w:val="24"/>
        </w:rPr>
        <w:t>/</w:t>
      </w:r>
      <w:r w:rsidR="00F13805" w:rsidRPr="007367B7">
        <w:rPr>
          <w:rFonts w:eastAsia="Arial"/>
          <w:b/>
          <w:bCs/>
          <w:sz w:val="24"/>
          <w:szCs w:val="24"/>
        </w:rPr>
        <w:t xml:space="preserve">NIQ No. </w:t>
      </w:r>
      <w:r w:rsidR="009B1CDF" w:rsidRPr="007367B7">
        <w:rPr>
          <w:rFonts w:eastAsia="Arial"/>
          <w:b/>
          <w:bCs/>
          <w:sz w:val="24"/>
          <w:szCs w:val="24"/>
        </w:rPr>
        <w:t>AIIM</w:t>
      </w:r>
      <w:r w:rsidR="00344587" w:rsidRPr="007367B7">
        <w:rPr>
          <w:rFonts w:eastAsia="Arial"/>
          <w:b/>
          <w:bCs/>
          <w:sz w:val="24"/>
          <w:szCs w:val="24"/>
        </w:rPr>
        <w:t>S/MG/Stores</w:t>
      </w:r>
      <w:r w:rsidR="005D56E5" w:rsidRPr="007367B7">
        <w:rPr>
          <w:rFonts w:eastAsia="Arial"/>
          <w:b/>
          <w:bCs/>
          <w:sz w:val="24"/>
          <w:szCs w:val="24"/>
        </w:rPr>
        <w:t>/</w:t>
      </w:r>
      <w:r w:rsidR="007367B7" w:rsidRPr="007367B7">
        <w:rPr>
          <w:rFonts w:eastAsia="Arial"/>
          <w:b/>
          <w:bCs/>
          <w:sz w:val="24"/>
          <w:szCs w:val="24"/>
        </w:rPr>
        <w:t>EN</w:t>
      </w:r>
      <w:r w:rsidR="00713EED" w:rsidRPr="007367B7">
        <w:rPr>
          <w:rFonts w:eastAsia="Arial"/>
          <w:b/>
          <w:bCs/>
          <w:sz w:val="24"/>
          <w:szCs w:val="24"/>
        </w:rPr>
        <w:t>T</w:t>
      </w:r>
      <w:r w:rsidR="009E5BCC" w:rsidRPr="007367B7">
        <w:rPr>
          <w:rFonts w:eastAsia="Arial"/>
          <w:b/>
          <w:bCs/>
          <w:sz w:val="24"/>
          <w:szCs w:val="24"/>
        </w:rPr>
        <w:t xml:space="preserve"> Department</w:t>
      </w:r>
      <w:r w:rsidR="00713EED" w:rsidRPr="007367B7">
        <w:rPr>
          <w:rFonts w:eastAsia="Arial"/>
          <w:b/>
          <w:bCs/>
          <w:sz w:val="24"/>
          <w:szCs w:val="24"/>
        </w:rPr>
        <w:t xml:space="preserve"> </w:t>
      </w:r>
      <w:r w:rsidR="00D31A97" w:rsidRPr="007367B7">
        <w:rPr>
          <w:rFonts w:eastAsia="Arial"/>
          <w:b/>
          <w:bCs/>
          <w:sz w:val="24"/>
          <w:szCs w:val="24"/>
        </w:rPr>
        <w:t>/</w:t>
      </w:r>
      <w:r w:rsidR="007367B7" w:rsidRPr="007367B7">
        <w:rPr>
          <w:rFonts w:eastAsia="Arial"/>
          <w:b/>
          <w:sz w:val="24"/>
        </w:rPr>
        <w:t xml:space="preserve"> </w:t>
      </w:r>
      <w:r w:rsidR="00C87346" w:rsidRPr="00C87346">
        <w:rPr>
          <w:rFonts w:eastAsia="Arial"/>
          <w:b/>
          <w:bCs/>
          <w:sz w:val="24"/>
          <w:szCs w:val="24"/>
        </w:rPr>
        <w:t>Tonsillectomy and adenoidectomy set</w:t>
      </w:r>
      <w:r w:rsidR="007367B7" w:rsidRPr="007367B7">
        <w:rPr>
          <w:rFonts w:eastAsia="Arial"/>
          <w:b/>
          <w:sz w:val="24"/>
        </w:rPr>
        <w:t xml:space="preserve"> </w:t>
      </w:r>
      <w:r w:rsidR="002E47A4" w:rsidRPr="007367B7">
        <w:rPr>
          <w:rFonts w:eastAsia="Arial"/>
          <w:b/>
          <w:bCs/>
          <w:sz w:val="24"/>
          <w:szCs w:val="24"/>
        </w:rPr>
        <w:t>/</w:t>
      </w:r>
      <w:r w:rsidR="007367B7" w:rsidRPr="007367B7">
        <w:rPr>
          <w:rFonts w:eastAsia="Arial"/>
          <w:b/>
          <w:bCs/>
          <w:sz w:val="24"/>
          <w:szCs w:val="24"/>
        </w:rPr>
        <w:t>3</w:t>
      </w:r>
      <w:r w:rsidR="00C87346">
        <w:rPr>
          <w:rFonts w:eastAsia="Arial"/>
          <w:b/>
          <w:bCs/>
          <w:sz w:val="24"/>
          <w:szCs w:val="24"/>
        </w:rPr>
        <w:t>8</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5952F5" w:rsidRDefault="00A130EC" w:rsidP="00B6436F">
            <w:pPr>
              <w:jc w:val="center"/>
              <w:rPr>
                <w:sz w:val="24"/>
                <w:szCs w:val="24"/>
              </w:rPr>
            </w:pPr>
            <w:r w:rsidRPr="005952F5">
              <w:rPr>
                <w:rFonts w:eastAsia="Calibri"/>
                <w:b/>
                <w:bCs/>
                <w:sz w:val="24"/>
                <w:szCs w:val="24"/>
              </w:rPr>
              <w:t>S.</w:t>
            </w:r>
          </w:p>
          <w:p w:rsidR="00A130EC" w:rsidRPr="005952F5" w:rsidRDefault="00A130EC" w:rsidP="00B6436F">
            <w:pPr>
              <w:spacing w:line="243" w:lineRule="exact"/>
              <w:jc w:val="center"/>
              <w:rPr>
                <w:sz w:val="24"/>
                <w:szCs w:val="24"/>
              </w:rPr>
            </w:pPr>
            <w:r w:rsidRPr="005952F5">
              <w:rPr>
                <w:rFonts w:eastAsia="Calibri"/>
                <w:b/>
                <w:bCs/>
                <w:w w:val="95"/>
                <w:sz w:val="24"/>
                <w:szCs w:val="24"/>
              </w:rPr>
              <w:t>No.</w:t>
            </w:r>
          </w:p>
        </w:tc>
        <w:tc>
          <w:tcPr>
            <w:tcW w:w="2258" w:type="dxa"/>
            <w:vAlign w:val="center"/>
          </w:tcPr>
          <w:p w:rsidR="00A130EC" w:rsidRPr="005952F5" w:rsidRDefault="00A130EC" w:rsidP="00B6436F">
            <w:pPr>
              <w:spacing w:line="227" w:lineRule="exact"/>
              <w:jc w:val="center"/>
              <w:rPr>
                <w:sz w:val="24"/>
                <w:szCs w:val="24"/>
              </w:rPr>
            </w:pPr>
            <w:r w:rsidRPr="005952F5">
              <w:rPr>
                <w:rFonts w:eastAsia="Calibri"/>
                <w:b/>
                <w:bCs/>
                <w:sz w:val="24"/>
                <w:szCs w:val="24"/>
              </w:rPr>
              <w:t>Description of Item</w:t>
            </w:r>
          </w:p>
          <w:p w:rsidR="00A130EC" w:rsidRPr="005952F5" w:rsidRDefault="00A130EC" w:rsidP="00B6436F">
            <w:pPr>
              <w:jc w:val="center"/>
              <w:rPr>
                <w:sz w:val="24"/>
                <w:szCs w:val="24"/>
              </w:rPr>
            </w:pPr>
            <w:r w:rsidRPr="005952F5">
              <w:rPr>
                <w:rFonts w:eastAsia="Calibri"/>
                <w:b/>
                <w:bCs/>
                <w:sz w:val="24"/>
                <w:szCs w:val="24"/>
              </w:rPr>
              <w:t>with its required</w:t>
            </w:r>
          </w:p>
          <w:p w:rsidR="00A130EC" w:rsidRPr="005952F5" w:rsidRDefault="00A130EC" w:rsidP="00B6436F">
            <w:pPr>
              <w:spacing w:line="243" w:lineRule="exact"/>
              <w:jc w:val="center"/>
              <w:rPr>
                <w:sz w:val="24"/>
                <w:szCs w:val="24"/>
              </w:rPr>
            </w:pPr>
            <w:r w:rsidRPr="005952F5">
              <w:rPr>
                <w:rFonts w:eastAsia="Calibri"/>
                <w:b/>
                <w:bCs/>
                <w:sz w:val="24"/>
                <w:szCs w:val="24"/>
              </w:rPr>
              <w:t>Technical</w:t>
            </w:r>
          </w:p>
          <w:p w:rsidR="00A130EC" w:rsidRPr="005952F5" w:rsidRDefault="00A130EC" w:rsidP="00B6436F">
            <w:pPr>
              <w:jc w:val="center"/>
              <w:rPr>
                <w:sz w:val="24"/>
                <w:szCs w:val="24"/>
              </w:rPr>
            </w:pPr>
            <w:r w:rsidRPr="005952F5">
              <w:rPr>
                <w:rFonts w:eastAsia="Calibri"/>
                <w:b/>
                <w:bCs/>
                <w:w w:val="99"/>
                <w:sz w:val="24"/>
                <w:szCs w:val="24"/>
              </w:rPr>
              <w:t>Specification</w:t>
            </w:r>
          </w:p>
        </w:tc>
        <w:tc>
          <w:tcPr>
            <w:tcW w:w="1038" w:type="dxa"/>
            <w:vAlign w:val="center"/>
          </w:tcPr>
          <w:p w:rsidR="00A130EC" w:rsidRPr="005952F5" w:rsidRDefault="00A130EC" w:rsidP="00B6436F">
            <w:pPr>
              <w:jc w:val="center"/>
              <w:rPr>
                <w:sz w:val="24"/>
                <w:szCs w:val="24"/>
              </w:rPr>
            </w:pPr>
            <w:r w:rsidRPr="005952F5">
              <w:rPr>
                <w:rFonts w:eastAsia="Calibri"/>
                <w:b/>
                <w:bCs/>
                <w:sz w:val="24"/>
                <w:szCs w:val="24"/>
              </w:rPr>
              <w:t>Required</w:t>
            </w:r>
          </w:p>
          <w:p w:rsidR="00A130EC" w:rsidRPr="005952F5" w:rsidRDefault="00A130EC" w:rsidP="00B6436F">
            <w:pPr>
              <w:spacing w:line="243" w:lineRule="exact"/>
              <w:jc w:val="center"/>
              <w:rPr>
                <w:sz w:val="24"/>
                <w:szCs w:val="24"/>
              </w:rPr>
            </w:pPr>
            <w:r w:rsidRPr="005952F5">
              <w:rPr>
                <w:rFonts w:eastAsia="Calibri"/>
                <w:b/>
                <w:bCs/>
                <w:w w:val="98"/>
                <w:sz w:val="24"/>
                <w:szCs w:val="24"/>
              </w:rPr>
              <w:t>Quantity</w:t>
            </w:r>
          </w:p>
        </w:tc>
        <w:tc>
          <w:tcPr>
            <w:tcW w:w="1224" w:type="dxa"/>
            <w:vAlign w:val="center"/>
          </w:tcPr>
          <w:p w:rsidR="00A130EC" w:rsidRPr="00E44176" w:rsidRDefault="00A130EC" w:rsidP="00B6436F">
            <w:pPr>
              <w:spacing w:line="227" w:lineRule="exact"/>
              <w:jc w:val="center"/>
              <w:rPr>
                <w:b/>
                <w:sz w:val="24"/>
                <w:szCs w:val="24"/>
              </w:rPr>
            </w:pPr>
            <w:r>
              <w:rPr>
                <w:b/>
                <w:sz w:val="24"/>
                <w:szCs w:val="24"/>
              </w:rPr>
              <w:t>Brand/Cat No./HSN Code</w:t>
            </w:r>
          </w:p>
        </w:tc>
        <w:tc>
          <w:tcPr>
            <w:tcW w:w="719" w:type="dxa"/>
            <w:vAlign w:val="center"/>
          </w:tcPr>
          <w:p w:rsidR="00A130EC" w:rsidRDefault="00A130EC" w:rsidP="00B6436F">
            <w:pPr>
              <w:jc w:val="center"/>
              <w:rPr>
                <w:rFonts w:eastAsia="Calibri"/>
                <w:b/>
                <w:bCs/>
                <w:sz w:val="24"/>
                <w:szCs w:val="24"/>
              </w:rPr>
            </w:pPr>
            <w:r>
              <w:rPr>
                <w:rFonts w:eastAsia="Calibri"/>
                <w:b/>
                <w:bCs/>
                <w:sz w:val="24"/>
                <w:szCs w:val="24"/>
              </w:rPr>
              <w:t>Unit</w:t>
            </w:r>
          </w:p>
        </w:tc>
        <w:tc>
          <w:tcPr>
            <w:tcW w:w="1069" w:type="dxa"/>
            <w:vAlign w:val="center"/>
          </w:tcPr>
          <w:p w:rsidR="00A130EC" w:rsidRDefault="00A130EC" w:rsidP="00B6436F">
            <w:pPr>
              <w:jc w:val="center"/>
              <w:rPr>
                <w:rFonts w:eastAsia="Calibri"/>
                <w:b/>
                <w:bCs/>
                <w:sz w:val="24"/>
                <w:szCs w:val="24"/>
              </w:rPr>
            </w:pPr>
            <w:r>
              <w:rPr>
                <w:rFonts w:eastAsia="Calibri"/>
                <w:b/>
                <w:bCs/>
                <w:sz w:val="24"/>
                <w:szCs w:val="24"/>
              </w:rPr>
              <w:t>Price per unit in Rs.</w:t>
            </w:r>
          </w:p>
        </w:tc>
        <w:tc>
          <w:tcPr>
            <w:tcW w:w="766" w:type="dxa"/>
            <w:vAlign w:val="center"/>
          </w:tcPr>
          <w:p w:rsidR="00A130EC" w:rsidRDefault="00A130EC" w:rsidP="00B6436F">
            <w:pPr>
              <w:jc w:val="center"/>
              <w:rPr>
                <w:rFonts w:eastAsia="Calibri"/>
                <w:b/>
                <w:bCs/>
                <w:sz w:val="24"/>
                <w:szCs w:val="24"/>
              </w:rPr>
            </w:pPr>
          </w:p>
          <w:p w:rsidR="00A130EC" w:rsidRPr="005952F5" w:rsidRDefault="00A130EC" w:rsidP="00B6436F">
            <w:pPr>
              <w:jc w:val="center"/>
              <w:rPr>
                <w:rFonts w:eastAsia="Calibri"/>
                <w:b/>
                <w:bCs/>
                <w:sz w:val="24"/>
                <w:szCs w:val="24"/>
              </w:rPr>
            </w:pPr>
            <w:r>
              <w:rPr>
                <w:rFonts w:eastAsia="Calibri"/>
                <w:b/>
                <w:bCs/>
                <w:sz w:val="24"/>
                <w:szCs w:val="24"/>
              </w:rPr>
              <w:t>GST%</w:t>
            </w:r>
          </w:p>
        </w:tc>
        <w:tc>
          <w:tcPr>
            <w:tcW w:w="1173" w:type="dxa"/>
            <w:vAlign w:val="center"/>
          </w:tcPr>
          <w:p w:rsidR="00A130EC" w:rsidRPr="005952F5" w:rsidRDefault="00C110DE" w:rsidP="00C110DE">
            <w:pPr>
              <w:jc w:val="center"/>
              <w:rPr>
                <w:sz w:val="24"/>
                <w:szCs w:val="24"/>
              </w:rPr>
            </w:pPr>
            <w:r>
              <w:rPr>
                <w:rFonts w:eastAsia="Calibri"/>
                <w:b/>
                <w:bCs/>
                <w:w w:val="98"/>
                <w:sz w:val="24"/>
                <w:szCs w:val="24"/>
              </w:rPr>
              <w:t xml:space="preserve">Unit </w:t>
            </w:r>
            <w:r w:rsidR="00A130EC">
              <w:rPr>
                <w:rFonts w:eastAsia="Calibri"/>
                <w:b/>
                <w:bCs/>
                <w:w w:val="98"/>
                <w:sz w:val="24"/>
                <w:szCs w:val="24"/>
              </w:rPr>
              <w:t xml:space="preserve">Rate Including GST </w:t>
            </w:r>
            <w:r>
              <w:rPr>
                <w:rFonts w:eastAsia="Calibri"/>
                <w:b/>
                <w:bCs/>
                <w:w w:val="98"/>
                <w:sz w:val="24"/>
                <w:szCs w:val="24"/>
              </w:rPr>
              <w:t xml:space="preserve">in </w:t>
            </w:r>
            <w:r w:rsidR="00A130EC">
              <w:rPr>
                <w:rFonts w:eastAsia="Calibri"/>
                <w:b/>
                <w:bCs/>
                <w:w w:val="98"/>
                <w:sz w:val="24"/>
                <w:szCs w:val="24"/>
              </w:rPr>
              <w:t>Rs.</w:t>
            </w:r>
          </w:p>
        </w:tc>
        <w:tc>
          <w:tcPr>
            <w:tcW w:w="1769" w:type="dxa"/>
            <w:vAlign w:val="center"/>
          </w:tcPr>
          <w:p w:rsidR="00A130EC" w:rsidRPr="005952F5" w:rsidRDefault="00A130EC"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A130EC" w:rsidRPr="005952F5" w:rsidRDefault="00A130EC" w:rsidP="00B6436F">
            <w:pPr>
              <w:spacing w:line="243" w:lineRule="exact"/>
              <w:jc w:val="center"/>
              <w:rPr>
                <w:sz w:val="24"/>
                <w:szCs w:val="24"/>
              </w:rPr>
            </w:pPr>
            <w:r w:rsidRPr="005952F5">
              <w:rPr>
                <w:rFonts w:eastAsia="Calibri"/>
                <w:b/>
                <w:bCs/>
                <w:w w:val="97"/>
                <w:sz w:val="24"/>
                <w:szCs w:val="24"/>
              </w:rPr>
              <w:t>(In ₹)</w:t>
            </w:r>
          </w:p>
        </w:tc>
      </w:tr>
      <w:tr w:rsidR="00A130EC" w:rsidRPr="005952F5" w:rsidTr="00C110DE">
        <w:trPr>
          <w:trHeight w:val="40"/>
        </w:trPr>
        <w:tc>
          <w:tcPr>
            <w:tcW w:w="437"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1</w:t>
            </w:r>
          </w:p>
        </w:tc>
        <w:tc>
          <w:tcPr>
            <w:tcW w:w="2258"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2</w:t>
            </w:r>
          </w:p>
        </w:tc>
        <w:tc>
          <w:tcPr>
            <w:tcW w:w="1038" w:type="dxa"/>
            <w:vAlign w:val="center"/>
          </w:tcPr>
          <w:p w:rsidR="00A130EC" w:rsidRPr="00262346" w:rsidRDefault="00A130EC" w:rsidP="00B6436F">
            <w:pPr>
              <w:spacing w:line="230" w:lineRule="exact"/>
              <w:jc w:val="center"/>
              <w:rPr>
                <w:b/>
                <w:sz w:val="24"/>
                <w:szCs w:val="24"/>
              </w:rPr>
            </w:pPr>
            <w:r w:rsidRPr="007367B7">
              <w:rPr>
                <w:rFonts w:eastAsia="Calibri"/>
                <w:b/>
                <w:bCs/>
                <w:i/>
                <w:iCs/>
                <w:w w:val="98"/>
                <w:sz w:val="24"/>
                <w:szCs w:val="24"/>
              </w:rPr>
              <w:t>3</w:t>
            </w:r>
          </w:p>
        </w:tc>
        <w:tc>
          <w:tcPr>
            <w:tcW w:w="1224"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4</w:t>
            </w:r>
          </w:p>
        </w:tc>
        <w:tc>
          <w:tcPr>
            <w:tcW w:w="719" w:type="dxa"/>
            <w:vAlign w:val="center"/>
          </w:tcPr>
          <w:p w:rsidR="00A130EC" w:rsidRPr="00262346" w:rsidRDefault="00A130EC" w:rsidP="00B6436F">
            <w:pPr>
              <w:spacing w:line="230" w:lineRule="exact"/>
              <w:ind w:right="240"/>
              <w:jc w:val="center"/>
              <w:rPr>
                <w:rFonts w:eastAsia="Calibri"/>
                <w:b/>
                <w:bCs/>
                <w:i/>
                <w:iCs/>
                <w:sz w:val="24"/>
                <w:szCs w:val="24"/>
              </w:rPr>
            </w:pPr>
            <w:r w:rsidRPr="007367B7">
              <w:rPr>
                <w:rFonts w:eastAsia="Calibri"/>
                <w:b/>
                <w:bCs/>
                <w:i/>
                <w:iCs/>
                <w:sz w:val="24"/>
                <w:szCs w:val="24"/>
              </w:rPr>
              <w:t>5</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73" w:type="dxa"/>
            <w:vAlign w:val="center"/>
          </w:tcPr>
          <w:p w:rsidR="00A130EC" w:rsidRPr="005952F5" w:rsidRDefault="00A130EC" w:rsidP="00B6436F">
            <w:pPr>
              <w:spacing w:line="230" w:lineRule="exact"/>
              <w:jc w:val="center"/>
              <w:rPr>
                <w:sz w:val="24"/>
                <w:szCs w:val="24"/>
              </w:rPr>
            </w:pPr>
            <w:r>
              <w:rPr>
                <w:rFonts w:eastAsia="Calibri"/>
                <w:b/>
                <w:bCs/>
                <w:i/>
                <w:iCs/>
                <w:sz w:val="24"/>
                <w:szCs w:val="24"/>
              </w:rPr>
              <w:t>8</w:t>
            </w:r>
          </w:p>
        </w:tc>
        <w:tc>
          <w:tcPr>
            <w:tcW w:w="1769" w:type="dxa"/>
            <w:vAlign w:val="center"/>
          </w:tcPr>
          <w:p w:rsidR="00A130EC" w:rsidRPr="005952F5" w:rsidRDefault="00A130EC" w:rsidP="00B6436F">
            <w:pPr>
              <w:spacing w:line="230" w:lineRule="exact"/>
              <w:jc w:val="center"/>
              <w:rPr>
                <w:sz w:val="24"/>
                <w:szCs w:val="24"/>
              </w:rPr>
            </w:pPr>
            <w:r>
              <w:rPr>
                <w:rFonts w:eastAsia="Calibri"/>
                <w:b/>
                <w:bCs/>
                <w:i/>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C87346" w:rsidP="00766AFF">
            <w:pPr>
              <w:jc w:val="center"/>
              <w:rPr>
                <w:rFonts w:eastAsia="Arial"/>
                <w:bCs/>
                <w:sz w:val="24"/>
                <w:szCs w:val="24"/>
              </w:rPr>
            </w:pPr>
            <w:r w:rsidRPr="00C87346">
              <w:rPr>
                <w:rFonts w:eastAsia="Arial"/>
                <w:b/>
                <w:bCs/>
                <w:sz w:val="24"/>
                <w:szCs w:val="24"/>
              </w:rPr>
              <w:t>Tonsillectomy and adenoidectomy set</w:t>
            </w:r>
            <w:r w:rsidRPr="00D92720">
              <w:rPr>
                <w:rFonts w:eastAsia="Arial"/>
                <w:b/>
                <w:bCs/>
                <w:sz w:val="20"/>
                <w:szCs w:val="24"/>
              </w:rPr>
              <w:t xml:space="preserve"> </w:t>
            </w:r>
            <w:r w:rsidR="00A130EC" w:rsidRPr="00D92720">
              <w:rPr>
                <w:rFonts w:eastAsia="Arial"/>
                <w:b/>
                <w:bCs/>
                <w:sz w:val="20"/>
                <w:szCs w:val="24"/>
              </w:rPr>
              <w:t>(</w:t>
            </w:r>
            <w:r w:rsidR="00A130EC">
              <w:rPr>
                <w:rFonts w:eastAsia="Arial"/>
                <w:b/>
                <w:bCs/>
                <w:sz w:val="20"/>
                <w:szCs w:val="24"/>
              </w:rPr>
              <w:t>Specifications are</w:t>
            </w:r>
            <w:r w:rsidR="00A130EC" w:rsidRPr="00D92720">
              <w:rPr>
                <w:rFonts w:eastAsia="Arial"/>
                <w:b/>
                <w:bCs/>
                <w:sz w:val="20"/>
                <w:szCs w:val="24"/>
              </w:rPr>
              <w:t xml:space="preserve"> mentioned in the </w:t>
            </w:r>
            <w:r w:rsidR="00766AFF">
              <w:rPr>
                <w:rFonts w:eastAsia="Arial"/>
                <w:b/>
                <w:bCs/>
                <w:sz w:val="20"/>
                <w:szCs w:val="24"/>
              </w:rPr>
              <w:br/>
            </w:r>
            <w:r w:rsidR="00A130EC" w:rsidRPr="00D92720">
              <w:rPr>
                <w:rFonts w:eastAsia="Arial"/>
                <w:b/>
                <w:bCs/>
                <w:sz w:val="20"/>
                <w:szCs w:val="24"/>
              </w:rPr>
              <w:t>page no.1</w:t>
            </w:r>
            <w:r w:rsidR="00A130EC">
              <w:rPr>
                <w:rFonts w:eastAsia="Arial"/>
                <w:b/>
                <w:bCs/>
                <w:sz w:val="20"/>
                <w:szCs w:val="24"/>
              </w:rPr>
              <w:t xml:space="preserve"> </w:t>
            </w:r>
            <w:r w:rsidR="00766AFF">
              <w:rPr>
                <w:rFonts w:eastAsia="Arial"/>
                <w:b/>
                <w:bCs/>
                <w:sz w:val="20"/>
                <w:szCs w:val="24"/>
              </w:rPr>
              <w:t xml:space="preserve">&amp; </w:t>
            </w:r>
            <w:r w:rsidR="00A130EC">
              <w:rPr>
                <w:rFonts w:eastAsia="Arial"/>
                <w:b/>
                <w:bCs/>
                <w:sz w:val="20"/>
                <w:szCs w:val="24"/>
              </w:rPr>
              <w:t>2</w:t>
            </w:r>
            <w:r w:rsidR="00A130EC" w:rsidRPr="00D92720">
              <w:rPr>
                <w:rFonts w:eastAsia="Arial"/>
                <w:b/>
                <w:bCs/>
                <w:sz w:val="20"/>
                <w:szCs w:val="24"/>
              </w:rPr>
              <w:t>)</w:t>
            </w:r>
          </w:p>
        </w:tc>
        <w:tc>
          <w:tcPr>
            <w:tcW w:w="1038" w:type="dxa"/>
            <w:vAlign w:val="center"/>
          </w:tcPr>
          <w:p w:rsidR="00A130EC" w:rsidRPr="001A5FD6" w:rsidRDefault="007367B7" w:rsidP="007367B7">
            <w:pPr>
              <w:jc w:val="center"/>
              <w:rPr>
                <w:rFonts w:eastAsia="Arial"/>
                <w:bCs/>
                <w:sz w:val="24"/>
                <w:szCs w:val="24"/>
              </w:rPr>
            </w:pPr>
            <w:r>
              <w:rPr>
                <w:rFonts w:eastAsia="Arial"/>
                <w:bCs/>
                <w:sz w:val="24"/>
                <w:szCs w:val="24"/>
              </w:rPr>
              <w:t>1 Set</w:t>
            </w:r>
            <w:r w:rsidR="00A130EC">
              <w:rPr>
                <w:rFonts w:eastAsia="Arial"/>
                <w:bCs/>
                <w:sz w:val="24"/>
                <w:szCs w:val="24"/>
              </w:rPr>
              <w:t>.</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7367B7" w:rsidP="00B6436F">
            <w:pPr>
              <w:spacing w:line="230" w:lineRule="exact"/>
              <w:ind w:right="240"/>
              <w:jc w:val="center"/>
              <w:rPr>
                <w:rFonts w:eastAsia="Calibri"/>
                <w:bCs/>
                <w:iCs/>
                <w:sz w:val="24"/>
                <w:szCs w:val="24"/>
              </w:rPr>
            </w:pPr>
            <w:r>
              <w:rPr>
                <w:rFonts w:eastAsia="Calibri"/>
                <w:bCs/>
                <w:iCs/>
                <w:sz w:val="24"/>
                <w:szCs w:val="24"/>
              </w:rPr>
              <w:t>1Set</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proofErr w:type="gramStart"/>
      <w:r w:rsidR="00FB3CB6">
        <w:rPr>
          <w:rFonts w:eastAsia="Arial"/>
        </w:rPr>
        <w:t>“</w:t>
      </w:r>
      <w:r w:rsidR="00FB3CB6" w:rsidRPr="007367B7">
        <w:rPr>
          <w:rFonts w:eastAsia="Arial"/>
          <w:b/>
          <w:sz w:val="24"/>
        </w:rPr>
        <w:t>NI</w:t>
      </w:r>
      <w:r w:rsidR="00E34CC0" w:rsidRPr="007367B7">
        <w:rPr>
          <w:rFonts w:eastAsia="Arial"/>
          <w:b/>
          <w:sz w:val="24"/>
        </w:rPr>
        <w:t xml:space="preserve">Q for supply </w:t>
      </w:r>
      <w:r w:rsidR="0017030B" w:rsidRPr="007367B7">
        <w:rPr>
          <w:rFonts w:eastAsia="Arial"/>
          <w:b/>
          <w:sz w:val="24"/>
        </w:rPr>
        <w:t xml:space="preserve">of </w:t>
      </w:r>
      <w:r w:rsidR="00C87346" w:rsidRPr="00C87346">
        <w:rPr>
          <w:rFonts w:eastAsia="Arial"/>
          <w:b/>
          <w:bCs/>
          <w:sz w:val="24"/>
          <w:szCs w:val="24"/>
        </w:rPr>
        <w:t>Tonsillectomy and adenoidectomy set</w:t>
      </w:r>
      <w:r w:rsidR="007367B7" w:rsidRPr="00EC5035">
        <w:rPr>
          <w:rFonts w:eastAsia="Arial"/>
          <w:b/>
          <w:sz w:val="24"/>
        </w:rPr>
        <w:t xml:space="preserve"> </w:t>
      </w:r>
      <w:r w:rsidR="00495756" w:rsidRPr="007367B7">
        <w:rPr>
          <w:rFonts w:eastAsia="Arial"/>
          <w:b/>
          <w:sz w:val="24"/>
        </w:rPr>
        <w:t xml:space="preserve">for </w:t>
      </w:r>
      <w:r w:rsidR="007367B7" w:rsidRPr="007367B7">
        <w:rPr>
          <w:rFonts w:eastAsia="Arial"/>
          <w:b/>
          <w:sz w:val="24"/>
        </w:rPr>
        <w:t>EN</w:t>
      </w:r>
      <w:r w:rsidR="00495756" w:rsidRPr="007367B7">
        <w:rPr>
          <w:rFonts w:eastAsia="Arial"/>
          <w:b/>
          <w:sz w:val="24"/>
        </w:rPr>
        <w:t>T</w:t>
      </w:r>
      <w:r w:rsidRPr="007367B7">
        <w:rPr>
          <w:rFonts w:eastAsia="Arial"/>
          <w:b/>
          <w:sz w:val="24"/>
        </w:rPr>
        <w:t xml:space="preserve"> Department</w:t>
      </w:r>
      <w:r w:rsidR="001C256B" w:rsidRPr="007367B7">
        <w:rPr>
          <w:rFonts w:eastAsia="Arial"/>
          <w:b/>
          <w:sz w:val="24"/>
        </w:rPr>
        <w:t xml:space="preserve">, </w:t>
      </w:r>
      <w:r w:rsidRPr="007367B7">
        <w:rPr>
          <w:rFonts w:eastAsia="Arial"/>
          <w:b/>
          <w:sz w:val="24"/>
        </w:rPr>
        <w:t xml:space="preserve">AIIMS </w:t>
      </w:r>
      <w:proofErr w:type="spellStart"/>
      <w:r w:rsidR="00FB3CB6" w:rsidRPr="007367B7">
        <w:rPr>
          <w:rFonts w:eastAsia="Arial"/>
          <w:b/>
          <w:sz w:val="24"/>
        </w:rPr>
        <w:t>Mangalagiri</w:t>
      </w:r>
      <w:proofErr w:type="spellEnd"/>
      <w:r w:rsidR="00FB3CB6">
        <w:rPr>
          <w:rFonts w:eastAsia="Arial"/>
          <w:b/>
          <w:sz w:val="24"/>
        </w:rPr>
        <w:t>”.</w:t>
      </w:r>
      <w:proofErr w:type="gramEnd"/>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D16" w:rsidRDefault="00474D16" w:rsidP="00EA63A2">
      <w:r>
        <w:separator/>
      </w:r>
    </w:p>
  </w:endnote>
  <w:endnote w:type="continuationSeparator" w:id="0">
    <w:p w:rsidR="00474D16" w:rsidRDefault="00474D16"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13EED" w:rsidRDefault="001266D6">
        <w:pPr>
          <w:pStyle w:val="Footer"/>
          <w:pBdr>
            <w:top w:val="single" w:sz="4" w:space="1" w:color="D9D9D9" w:themeColor="background1" w:themeShade="D9"/>
          </w:pBdr>
          <w:jc w:val="right"/>
        </w:pPr>
        <w:fldSimple w:instr=" PAGE   \* MERGEFORMAT ">
          <w:r w:rsidR="009A611F">
            <w:rPr>
              <w:noProof/>
            </w:rPr>
            <w:t>1</w:t>
          </w:r>
        </w:fldSimple>
        <w:r w:rsidR="00713EED">
          <w:t xml:space="preserve"> | </w:t>
        </w:r>
        <w:r w:rsidR="00713EED">
          <w:rPr>
            <w:color w:val="7F7F7F" w:themeColor="background1" w:themeShade="7F"/>
            <w:spacing w:val="60"/>
          </w:rPr>
          <w:t>Page</w:t>
        </w:r>
      </w:p>
    </w:sdtContent>
  </w:sdt>
  <w:p w:rsidR="00713EED" w:rsidRDefault="0071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D16" w:rsidRDefault="00474D16" w:rsidP="00EA63A2">
      <w:r>
        <w:separator/>
      </w:r>
    </w:p>
  </w:footnote>
  <w:footnote w:type="continuationSeparator" w:id="0">
    <w:p w:rsidR="00474D16" w:rsidRDefault="00474D16"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2597"/>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2154"/>
    <w:rsid w:val="000D4E1E"/>
    <w:rsid w:val="000E5847"/>
    <w:rsid w:val="000F3FDF"/>
    <w:rsid w:val="00100F29"/>
    <w:rsid w:val="00101069"/>
    <w:rsid w:val="00104B6E"/>
    <w:rsid w:val="001071C9"/>
    <w:rsid w:val="00120B21"/>
    <w:rsid w:val="00121152"/>
    <w:rsid w:val="001266D6"/>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B67E6"/>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1AD3"/>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16"/>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2DCD"/>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367B7"/>
    <w:rsid w:val="00743148"/>
    <w:rsid w:val="007436DE"/>
    <w:rsid w:val="00744A54"/>
    <w:rsid w:val="007501C8"/>
    <w:rsid w:val="00753884"/>
    <w:rsid w:val="0076001D"/>
    <w:rsid w:val="00761B0A"/>
    <w:rsid w:val="0076625E"/>
    <w:rsid w:val="00766AFF"/>
    <w:rsid w:val="00767F85"/>
    <w:rsid w:val="00770622"/>
    <w:rsid w:val="00772499"/>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4E"/>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611F"/>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6266"/>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346"/>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31A97"/>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3DA6"/>
    <w:rsid w:val="00EA63A2"/>
    <w:rsid w:val="00EB2CC5"/>
    <w:rsid w:val="00EB78B3"/>
    <w:rsid w:val="00EC21A3"/>
    <w:rsid w:val="00EC3AC1"/>
    <w:rsid w:val="00EC5035"/>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6633-F1CF-4C05-94FE-B22D3884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2021-03-19T05:05:00Z</cp:lastPrinted>
  <dcterms:created xsi:type="dcterms:W3CDTF">2021-03-19T05:12:00Z</dcterms:created>
  <dcterms:modified xsi:type="dcterms:W3CDTF">2021-03-19T05:24:00Z</dcterms:modified>
</cp:coreProperties>
</file>